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D7A3"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Primary Care Statement</w:t>
      </w:r>
    </w:p>
    <w:p w14:paraId="611C3ACA" w14:textId="77777777" w:rsidR="00DD6DB7" w:rsidRPr="00DD6DB7" w:rsidRDefault="00DD6DB7" w:rsidP="00DD6DB7">
      <w:pPr>
        <w:spacing w:after="0" w:line="240" w:lineRule="auto"/>
        <w:jc w:val="both"/>
        <w:rPr>
          <w:rFonts w:ascii="Aptos" w:eastAsia="Gulim" w:hAnsi="Aptos" w:cs="Gulim"/>
          <w:b/>
          <w:bCs/>
          <w14:ligatures w14:val="standardContextual"/>
        </w:rPr>
      </w:pPr>
    </w:p>
    <w:p w14:paraId="13084888"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Tirzepatide (Mounjaro®) for managing overweight and obesity (June 2025)</w:t>
      </w:r>
    </w:p>
    <w:p w14:paraId="3FD33829" w14:textId="77777777" w:rsidR="00DD6DB7" w:rsidRPr="00DD6DB7" w:rsidRDefault="00DD6DB7" w:rsidP="00DD6DB7">
      <w:pPr>
        <w:spacing w:after="0" w:line="240" w:lineRule="auto"/>
        <w:jc w:val="both"/>
        <w:rPr>
          <w:rFonts w:ascii="Aptos" w:eastAsia="Gulim" w:hAnsi="Aptos" w:cs="Gulim"/>
          <w14:ligatures w14:val="standardContextual"/>
        </w:rPr>
      </w:pPr>
    </w:p>
    <w:p w14:paraId="251E63EC"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On 23</w:t>
      </w:r>
      <w:r w:rsidRPr="00DD6DB7">
        <w:rPr>
          <w:rFonts w:ascii="Aptos" w:eastAsia="Gulim" w:hAnsi="Aptos" w:cs="Gulim"/>
          <w:vertAlign w:val="superscript"/>
          <w14:ligatures w14:val="standardContextual"/>
        </w:rPr>
        <w:t>rd</w:t>
      </w:r>
      <w:r w:rsidRPr="00DD6DB7">
        <w:rPr>
          <w:rFonts w:ascii="Aptos" w:eastAsia="Gulim" w:hAnsi="Aptos" w:cs="Gulim"/>
          <w14:ligatures w14:val="standardContextual"/>
        </w:rPr>
        <w:t xml:space="preserve"> December 2024, the National Institute for Health and Care Excellence (NICE) published a Technology Appraisal for tirzepatide for managing overweight and obesity (</w:t>
      </w:r>
      <w:hyperlink r:id="rId8" w:history="1">
        <w:r w:rsidRPr="00DD6DB7">
          <w:rPr>
            <w:rFonts w:ascii="Aptos" w:eastAsia="Gulim" w:hAnsi="Aptos" w:cs="Gulim"/>
            <w:color w:val="467886"/>
            <w:u w:val="single"/>
            <w14:ligatures w14:val="standardContextual"/>
          </w:rPr>
          <w:t>TA1026</w:t>
        </w:r>
      </w:hyperlink>
      <w:r w:rsidRPr="00DD6DB7">
        <w:rPr>
          <w:rFonts w:ascii="Aptos" w:eastAsia="Gulim" w:hAnsi="Aptos" w:cs="Gulim"/>
          <w14:ligatures w14:val="standardContextual"/>
        </w:rPr>
        <w:t>).</w:t>
      </w:r>
    </w:p>
    <w:p w14:paraId="19EC2536" w14:textId="77777777" w:rsidR="00DD6DB7" w:rsidRPr="00DD6DB7" w:rsidRDefault="00DD6DB7" w:rsidP="00DD6DB7">
      <w:pPr>
        <w:spacing w:after="0" w:line="240" w:lineRule="auto"/>
        <w:jc w:val="both"/>
        <w:rPr>
          <w:rFonts w:ascii="Aptos" w:eastAsia="Gulim" w:hAnsi="Aptos" w:cs="Gulim"/>
          <w14:ligatures w14:val="standardContextual"/>
        </w:rPr>
      </w:pPr>
    </w:p>
    <w:p w14:paraId="135C3F3E"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As well as being prescribable by Specialist Weight Management Services, tirzepatide will also be prescribable in Primary Care and the local implementation of this service is in progress.</w:t>
      </w:r>
    </w:p>
    <w:p w14:paraId="54F2F0F5" w14:textId="77777777" w:rsidR="00DD6DB7" w:rsidRPr="00DD6DB7" w:rsidRDefault="00DD6DB7" w:rsidP="00DD6DB7">
      <w:pPr>
        <w:spacing w:after="0" w:line="240" w:lineRule="auto"/>
        <w:jc w:val="both"/>
        <w:rPr>
          <w:rFonts w:ascii="Aptos" w:eastAsia="Gulim" w:hAnsi="Aptos" w:cs="Gulim"/>
          <w14:ligatures w14:val="standardContextual"/>
        </w:rPr>
      </w:pPr>
    </w:p>
    <w:p w14:paraId="0712D321"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We understand practices are receiving a lot of enquiries from patients requesting this medication. We have updated our public statement, available on the ICB’s website, which asks patients not to contact GPs. You are welcome to put this on your websites.</w:t>
      </w:r>
    </w:p>
    <w:p w14:paraId="783A5095" w14:textId="77777777" w:rsidR="00DD6DB7" w:rsidRPr="00DD6DB7" w:rsidRDefault="00DD6DB7" w:rsidP="00DD6DB7">
      <w:pPr>
        <w:spacing w:after="0" w:line="240" w:lineRule="auto"/>
        <w:jc w:val="both"/>
        <w:rPr>
          <w:rFonts w:ascii="Aptos" w:eastAsia="Gulim" w:hAnsi="Aptos" w:cs="Gulim"/>
          <w14:ligatures w14:val="standardContextual"/>
        </w:rPr>
      </w:pPr>
    </w:p>
    <w:p w14:paraId="70325BC9"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 xml:space="preserve">Tirzepatide for weight loss is currently categorised as a red drug on the Northamptonshire Formulary, which is under review as part of local service development. </w:t>
      </w:r>
    </w:p>
    <w:p w14:paraId="56F8315E" w14:textId="77777777" w:rsidR="00DD6DB7" w:rsidRPr="00DD6DB7" w:rsidRDefault="00DD6DB7" w:rsidP="00DD6DB7">
      <w:pPr>
        <w:spacing w:after="0" w:line="240" w:lineRule="auto"/>
        <w:jc w:val="both"/>
        <w:rPr>
          <w:rFonts w:ascii="Aptos" w:eastAsia="Gulim" w:hAnsi="Aptos" w:cs="Gulim"/>
          <w14:ligatures w14:val="standardContextual"/>
        </w:rPr>
      </w:pPr>
    </w:p>
    <w:p w14:paraId="0A8ACD07"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Initially, tirzepatide will only be available in primary care in line with the interim commissioning guidance issues by NHSE, which details the eligible cohorts. The patients deemed at the highest clinical need (cohort 1) are those with:</w:t>
      </w:r>
    </w:p>
    <w:p w14:paraId="09E82BE9" w14:textId="77777777" w:rsidR="00DD6DB7" w:rsidRPr="00DD6DB7" w:rsidRDefault="00DD6DB7" w:rsidP="00DD6DB7">
      <w:pPr>
        <w:spacing w:after="0" w:line="240" w:lineRule="auto"/>
        <w:jc w:val="both"/>
        <w:rPr>
          <w:rFonts w:ascii="Aptos" w:eastAsia="Gulim" w:hAnsi="Aptos" w:cs="Gulim"/>
          <w14:ligatures w14:val="standardContextual"/>
        </w:rPr>
      </w:pPr>
    </w:p>
    <w:p w14:paraId="2AE93D1F"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BMI ≥ 40 (or ≥ 37.5 for people from South Asian, Chinese, other Asian, Middle Eastern, Black African, or African-Caribbean ethnic backgrounds)</w:t>
      </w:r>
    </w:p>
    <w:p w14:paraId="50DA9FEF" w14:textId="77777777" w:rsidR="00DD6DB7" w:rsidRPr="00DD6DB7" w:rsidRDefault="00DD6DB7" w:rsidP="00DD6DB7">
      <w:pPr>
        <w:spacing w:after="0" w:line="240" w:lineRule="auto"/>
        <w:jc w:val="both"/>
        <w:rPr>
          <w:rFonts w:ascii="Aptos" w:eastAsia="Gulim" w:hAnsi="Aptos" w:cs="Gulim"/>
          <w14:ligatures w14:val="standardContextual"/>
        </w:rPr>
      </w:pPr>
    </w:p>
    <w:p w14:paraId="6E366D36"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AND</w:t>
      </w:r>
    </w:p>
    <w:p w14:paraId="3908A535" w14:textId="77777777" w:rsidR="00DD6DB7" w:rsidRPr="00DD6DB7" w:rsidRDefault="00DD6DB7" w:rsidP="00DD6DB7">
      <w:pPr>
        <w:spacing w:after="0" w:line="240" w:lineRule="auto"/>
        <w:jc w:val="both"/>
        <w:rPr>
          <w:rFonts w:ascii="Aptos" w:eastAsia="Gulim" w:hAnsi="Aptos" w:cs="Gulim"/>
          <w14:ligatures w14:val="standardContextual"/>
        </w:rPr>
      </w:pPr>
    </w:p>
    <w:p w14:paraId="1BB6AE02"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4 or more of the following qualifying comorbidities</w:t>
      </w:r>
    </w:p>
    <w:p w14:paraId="4A3E4EB4" w14:textId="77777777" w:rsidR="00DD6DB7" w:rsidRPr="00DD6DB7" w:rsidRDefault="00DD6DB7" w:rsidP="00DD6DB7">
      <w:pPr>
        <w:spacing w:after="0" w:line="240" w:lineRule="auto"/>
        <w:jc w:val="both"/>
        <w:rPr>
          <w:rFonts w:ascii="Aptos" w:eastAsia="Gulim" w:hAnsi="Aptos" w:cs="Gulim"/>
          <w14:ligatures w14:val="standardContextual"/>
        </w:rPr>
      </w:pPr>
    </w:p>
    <w:p w14:paraId="535E3046" w14:textId="77777777" w:rsidR="00DD6DB7" w:rsidRPr="00DD6DB7" w:rsidRDefault="00DD6DB7" w:rsidP="00DD6DB7">
      <w:pPr>
        <w:numPr>
          <w:ilvl w:val="0"/>
          <w:numId w:val="18"/>
        </w:num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Hypertension</w:t>
      </w:r>
    </w:p>
    <w:p w14:paraId="5F6EC1F2" w14:textId="77777777" w:rsidR="00DD6DB7" w:rsidRPr="00DD6DB7" w:rsidRDefault="00DD6DB7" w:rsidP="00DD6DB7">
      <w:pPr>
        <w:numPr>
          <w:ilvl w:val="0"/>
          <w:numId w:val="18"/>
        </w:num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Dyslipidaemia</w:t>
      </w:r>
    </w:p>
    <w:p w14:paraId="37135CEC" w14:textId="77777777" w:rsidR="00DD6DB7" w:rsidRPr="00DD6DB7" w:rsidRDefault="00DD6DB7" w:rsidP="00DD6DB7">
      <w:pPr>
        <w:numPr>
          <w:ilvl w:val="0"/>
          <w:numId w:val="18"/>
        </w:num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Obstructive sleep apnoea</w:t>
      </w:r>
    </w:p>
    <w:p w14:paraId="7CE094CF" w14:textId="77777777" w:rsidR="00DD6DB7" w:rsidRPr="00DD6DB7" w:rsidRDefault="00DD6DB7" w:rsidP="00DD6DB7">
      <w:pPr>
        <w:numPr>
          <w:ilvl w:val="0"/>
          <w:numId w:val="18"/>
        </w:num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Cardiovascular disease</w:t>
      </w:r>
    </w:p>
    <w:p w14:paraId="4EB9C98D" w14:textId="77777777" w:rsidR="00DD6DB7" w:rsidRPr="00DD6DB7" w:rsidRDefault="00DD6DB7" w:rsidP="00DD6DB7">
      <w:pPr>
        <w:numPr>
          <w:ilvl w:val="0"/>
          <w:numId w:val="18"/>
        </w:num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Type 2 diabetes mellitus</w:t>
      </w:r>
    </w:p>
    <w:p w14:paraId="487605E8" w14:textId="77777777" w:rsidR="00DD6DB7" w:rsidRPr="00DD6DB7" w:rsidRDefault="00DD6DB7" w:rsidP="00DD6DB7">
      <w:pPr>
        <w:spacing w:after="0" w:line="240" w:lineRule="auto"/>
        <w:jc w:val="both"/>
        <w:rPr>
          <w:rFonts w:ascii="Aptos" w:eastAsia="Gulim" w:hAnsi="Aptos" w:cs="Gulim"/>
          <w14:ligatures w14:val="standardContextual"/>
        </w:rPr>
      </w:pPr>
    </w:p>
    <w:p w14:paraId="72CD6D65"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Tirzepatide is only recommended for use on the NHS in conjunction with a reduced-calorie diet and increased physical activity. Any patient prescribed tirzepatide must participate in the specifically designed wraparound care. This focuses on diet, nutrition and increasing physical activity and we encourage GPs not to prescribe unless the wraparound support offer is in place.</w:t>
      </w:r>
    </w:p>
    <w:p w14:paraId="4DEAACE8" w14:textId="77777777" w:rsidR="00DD6DB7" w:rsidRPr="00DD6DB7" w:rsidRDefault="00DD6DB7" w:rsidP="00DD6DB7">
      <w:pPr>
        <w:spacing w:after="0" w:line="240" w:lineRule="auto"/>
        <w:jc w:val="both"/>
        <w:rPr>
          <w:rFonts w:ascii="Aptos" w:eastAsia="Gulim" w:hAnsi="Aptos" w:cs="Gulim"/>
          <w14:ligatures w14:val="standardContextual"/>
        </w:rPr>
      </w:pPr>
    </w:p>
    <w:p w14:paraId="3EF82BCE"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We kindly request that GPs do not prescribe tirzepatide for weight management until we have the pathways in place to enable patients to access the wraparound support required, which will increase their chances of making sustainable change.</w:t>
      </w:r>
    </w:p>
    <w:p w14:paraId="7231284A" w14:textId="408F14CF" w:rsidR="00DD6DB7" w:rsidRDefault="00DD6DB7">
      <w:pPr>
        <w:rPr>
          <w:rFonts w:ascii="Aptos" w:eastAsia="Gulim" w:hAnsi="Aptos" w:cs="Gulim"/>
          <w:sz w:val="24"/>
          <w:szCs w:val="24"/>
          <w14:ligatures w14:val="standardContextual"/>
        </w:rPr>
      </w:pPr>
      <w:r>
        <w:rPr>
          <w:rFonts w:ascii="Aptos" w:eastAsia="Gulim" w:hAnsi="Aptos" w:cs="Gulim"/>
          <w:sz w:val="24"/>
          <w:szCs w:val="24"/>
          <w14:ligatures w14:val="standardContextual"/>
        </w:rPr>
        <w:br w:type="page"/>
      </w:r>
    </w:p>
    <w:p w14:paraId="0656F7D5"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lastRenderedPageBreak/>
        <w:t>Public Facing Statement</w:t>
      </w:r>
    </w:p>
    <w:p w14:paraId="516E5E46" w14:textId="77777777" w:rsidR="00DD6DB7" w:rsidRPr="00DD6DB7" w:rsidRDefault="00DD6DB7" w:rsidP="00DD6DB7">
      <w:pPr>
        <w:spacing w:after="0" w:line="240" w:lineRule="auto"/>
        <w:jc w:val="both"/>
        <w:rPr>
          <w:rFonts w:ascii="Aptos" w:eastAsia="Gulim" w:hAnsi="Aptos" w:cs="Gulim"/>
          <w:b/>
          <w:bCs/>
          <w14:ligatures w14:val="standardContextual"/>
        </w:rPr>
      </w:pPr>
    </w:p>
    <w:p w14:paraId="1223909A"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Tirzepatide (Mounjaro®) for managing overweight and obesity (June 2025)</w:t>
      </w:r>
    </w:p>
    <w:p w14:paraId="796F305E" w14:textId="77777777" w:rsidR="00DD6DB7" w:rsidRPr="00DD6DB7" w:rsidRDefault="00DD6DB7" w:rsidP="00DD6DB7">
      <w:pPr>
        <w:spacing w:after="0" w:line="240" w:lineRule="auto"/>
        <w:jc w:val="both"/>
        <w:rPr>
          <w:rFonts w:ascii="Aptos" w:eastAsia="Gulim" w:hAnsi="Aptos" w:cs="Gulim"/>
          <w14:ligatures w14:val="standardContextual"/>
        </w:rPr>
      </w:pPr>
    </w:p>
    <w:p w14:paraId="399F90D7"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On 23</w:t>
      </w:r>
      <w:r w:rsidRPr="00DD6DB7">
        <w:rPr>
          <w:rFonts w:ascii="Aptos" w:eastAsia="Gulim" w:hAnsi="Aptos" w:cs="Gulim"/>
          <w:vertAlign w:val="superscript"/>
          <w14:ligatures w14:val="standardContextual"/>
        </w:rPr>
        <w:t>rd</w:t>
      </w:r>
      <w:r w:rsidRPr="00DD6DB7">
        <w:rPr>
          <w:rFonts w:ascii="Aptos" w:eastAsia="Gulim" w:hAnsi="Aptos" w:cs="Gulim"/>
          <w14:ligatures w14:val="standardContextual"/>
        </w:rPr>
        <w:t xml:space="preserve"> December 2024, the National Institute for Health and Care Excellence (NICE) </w:t>
      </w:r>
      <w:hyperlink r:id="rId9" w:tooltip="Go to NICE website" w:history="1">
        <w:r w:rsidRPr="00DD6DB7">
          <w:rPr>
            <w:rFonts w:ascii="Aptos" w:eastAsia="Gulim" w:hAnsi="Aptos" w:cs="Gulim"/>
            <w:color w:val="467886"/>
            <w:u w:val="single"/>
            <w14:ligatures w14:val="standardContextual"/>
          </w:rPr>
          <w:t>published a Technology Appraisal for tirzepatide for managing overweight and obesity (TA1026).</w:t>
        </w:r>
      </w:hyperlink>
    </w:p>
    <w:p w14:paraId="39846A56" w14:textId="77777777" w:rsidR="00DD6DB7" w:rsidRPr="00DD6DB7" w:rsidRDefault="00DD6DB7" w:rsidP="00DD6DB7">
      <w:pPr>
        <w:spacing w:after="0" w:line="240" w:lineRule="auto"/>
        <w:jc w:val="both"/>
        <w:rPr>
          <w:rFonts w:ascii="Aptos" w:eastAsia="Gulim" w:hAnsi="Aptos" w:cs="Gulim"/>
          <w14:ligatures w14:val="standardContextual"/>
        </w:rPr>
      </w:pPr>
    </w:p>
    <w:p w14:paraId="27F0441A"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This Technology Appraisal makes tirzepatide available for weight management, under the brand name Mounjaro®. Unlike previous weight management medication, this can be prescribed in Primary Care (for example by a General Practice). However, it still needs the same wraparound services as Wegovy® (semaglutide), so that patients are supported to make the changes needed for the medication to be most effective.</w:t>
      </w:r>
    </w:p>
    <w:p w14:paraId="477171A3" w14:textId="77777777" w:rsidR="00DD6DB7" w:rsidRPr="00DD6DB7" w:rsidRDefault="00DD6DB7" w:rsidP="00DD6DB7">
      <w:pPr>
        <w:spacing w:after="0" w:line="240" w:lineRule="auto"/>
        <w:jc w:val="both"/>
        <w:rPr>
          <w:rFonts w:ascii="Aptos" w:eastAsia="Gulim" w:hAnsi="Aptos" w:cs="Gulim"/>
          <w14:ligatures w14:val="standardContextual"/>
        </w:rPr>
      </w:pPr>
    </w:p>
    <w:p w14:paraId="66214C09"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 xml:space="preserve">Northamptonshire ICB knows there are patients eligible for this medication who would like to be able to access this as soon as possible. However, this medication will be made available to patients in phases over several years. </w:t>
      </w:r>
    </w:p>
    <w:p w14:paraId="266EDC99" w14:textId="77777777" w:rsidR="00DD6DB7" w:rsidRPr="00DD6DB7" w:rsidRDefault="00DD6DB7" w:rsidP="00DD6DB7">
      <w:pPr>
        <w:spacing w:after="0" w:line="240" w:lineRule="auto"/>
        <w:jc w:val="both"/>
        <w:rPr>
          <w:rFonts w:ascii="Aptos" w:eastAsia="Gulim" w:hAnsi="Aptos" w:cs="Gulim"/>
          <w14:ligatures w14:val="standardContextual"/>
        </w:rPr>
      </w:pPr>
    </w:p>
    <w:p w14:paraId="06119F92"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We are in the process of developing a service that will make tirzepatide available to the group of patients deemed the highest priority. The priorities have been decided nationally based on both Body Mass Index (BMI) and related health conditions.</w:t>
      </w:r>
    </w:p>
    <w:p w14:paraId="6D234A2D" w14:textId="77777777" w:rsidR="00DD6DB7" w:rsidRPr="00DD6DB7" w:rsidRDefault="00DD6DB7" w:rsidP="00DD6DB7">
      <w:pPr>
        <w:spacing w:after="0" w:line="240" w:lineRule="auto"/>
        <w:jc w:val="both"/>
        <w:rPr>
          <w:rFonts w:ascii="Aptos" w:eastAsia="Gulim" w:hAnsi="Aptos" w:cs="Gulim"/>
          <w14:ligatures w14:val="standardContextual"/>
        </w:rPr>
      </w:pPr>
    </w:p>
    <w:p w14:paraId="7DE18BA4"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We ask that you do not contact your GP surgery to try and obtain Mounjaro® for weight loss just yet. GP practices are incredibly busy, and the additional resource required to manage enquiries will mean they have less time to offer patient appointments and contribute to the set-up of weight management services.</w:t>
      </w:r>
    </w:p>
    <w:p w14:paraId="50B716FA" w14:textId="77777777" w:rsidR="00DD6DB7" w:rsidRPr="00DD6DB7" w:rsidRDefault="00DD6DB7" w:rsidP="00DD6DB7">
      <w:pPr>
        <w:spacing w:after="0" w:line="240" w:lineRule="auto"/>
        <w:jc w:val="both"/>
        <w:rPr>
          <w:rFonts w:ascii="Aptos" w:eastAsia="Gulim" w:hAnsi="Aptos" w:cs="Gulim"/>
          <w14:ligatures w14:val="standardContextual"/>
        </w:rPr>
      </w:pPr>
    </w:p>
    <w:p w14:paraId="1AF94D2A"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We have also asked our GPs not to prescribe Mounjaro® for weight loss until we have the weight management service, including support for diet and exercise, in place.</w:t>
      </w:r>
    </w:p>
    <w:p w14:paraId="6911FDA7" w14:textId="77777777" w:rsidR="00DD6DB7" w:rsidRPr="00DD6DB7" w:rsidRDefault="00DD6DB7" w:rsidP="00DD6DB7">
      <w:pPr>
        <w:spacing w:after="0" w:line="240" w:lineRule="auto"/>
        <w:jc w:val="both"/>
        <w:rPr>
          <w:rFonts w:ascii="Aptos" w:eastAsia="Gulim" w:hAnsi="Aptos" w:cs="Gulim"/>
          <w14:ligatures w14:val="standardContextual"/>
        </w:rPr>
      </w:pPr>
    </w:p>
    <w:p w14:paraId="723CCEC0"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We are working with a range of experts from across Northamptonshire to develop a Specialist Weight Management Service for patients with more complex needs, which will prescribe weight management medication in future.</w:t>
      </w:r>
    </w:p>
    <w:p w14:paraId="21D488D9" w14:textId="77777777" w:rsidR="00DD6DB7" w:rsidRPr="00DD6DB7" w:rsidRDefault="00DD6DB7" w:rsidP="00DD6DB7">
      <w:pPr>
        <w:spacing w:after="0" w:line="240" w:lineRule="auto"/>
        <w:jc w:val="both"/>
        <w:rPr>
          <w:rFonts w:ascii="Aptos" w:eastAsia="Gulim" w:hAnsi="Aptos" w:cs="Gulim"/>
          <w14:ligatures w14:val="standardContextual"/>
        </w:rPr>
      </w:pPr>
    </w:p>
    <w:p w14:paraId="7192B24A"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A series of FAQs are published on this page, which may give you more information.</w:t>
      </w:r>
    </w:p>
    <w:p w14:paraId="4C1E256F" w14:textId="6EC9D194" w:rsidR="00DD6DB7" w:rsidRDefault="00DD6DB7">
      <w:pPr>
        <w:rPr>
          <w:rFonts w:ascii="Aptos" w:eastAsia="Gulim" w:hAnsi="Aptos" w:cs="Gulim"/>
          <w:sz w:val="24"/>
          <w:szCs w:val="24"/>
          <w14:ligatures w14:val="standardContextual"/>
        </w:rPr>
      </w:pPr>
      <w:r>
        <w:rPr>
          <w:rFonts w:ascii="Aptos" w:eastAsia="Gulim" w:hAnsi="Aptos" w:cs="Gulim"/>
          <w:sz w:val="24"/>
          <w:szCs w:val="24"/>
          <w14:ligatures w14:val="standardContextual"/>
        </w:rPr>
        <w:br w:type="page"/>
      </w:r>
    </w:p>
    <w:p w14:paraId="69724E41"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lastRenderedPageBreak/>
        <w:t>Frequently Asked Questions</w:t>
      </w:r>
    </w:p>
    <w:p w14:paraId="61310C2C" w14:textId="77777777" w:rsidR="00DD6DB7" w:rsidRPr="00DD6DB7" w:rsidRDefault="00DD6DB7" w:rsidP="00DD6DB7">
      <w:pPr>
        <w:spacing w:after="0" w:line="240" w:lineRule="auto"/>
        <w:jc w:val="both"/>
        <w:rPr>
          <w:rFonts w:ascii="Aptos" w:eastAsia="Gulim" w:hAnsi="Aptos" w:cs="Gulim"/>
          <w14:ligatures w14:val="standardContextual"/>
        </w:rPr>
      </w:pPr>
    </w:p>
    <w:p w14:paraId="31ACD7CA"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What is the impact of the NICE decision on tirzepatide for the management of obesity?</w:t>
      </w:r>
    </w:p>
    <w:p w14:paraId="4EDF3820" w14:textId="77777777" w:rsidR="00DD6DB7" w:rsidRPr="00DD6DB7" w:rsidRDefault="00DD6DB7" w:rsidP="00DD6DB7">
      <w:pPr>
        <w:spacing w:after="0" w:line="240" w:lineRule="auto"/>
        <w:jc w:val="both"/>
        <w:rPr>
          <w:rFonts w:ascii="Aptos" w:eastAsia="Gulim" w:hAnsi="Aptos" w:cs="Gulim"/>
          <w14:ligatures w14:val="standardContextual"/>
        </w:rPr>
      </w:pPr>
    </w:p>
    <w:p w14:paraId="6478F200"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For the first time in England, people aged 18 and over who are living with obesity and have a body mass index (BMI) of more than 35 and one qualifying weight related comorbidity will have access to the weight loss drug tirzepatide, either through a specialist weight management service or primary care. There is a lower BMI threshold for people from South Asian, Chinese, other Asian, Middle Eastern, Black African or African-Caribbean ethnic backgrounds (usually reduced by 2.5 kg/m</w:t>
      </w:r>
      <w:r w:rsidRPr="00DD6DB7">
        <w:rPr>
          <w:rFonts w:ascii="Aptos" w:eastAsia="Gulim" w:hAnsi="Aptos" w:cs="Gulim"/>
          <w:vertAlign w:val="superscript"/>
          <w14:ligatures w14:val="standardContextual"/>
        </w:rPr>
        <w:t>2</w:t>
      </w:r>
      <w:r w:rsidRPr="00DD6DB7">
        <w:rPr>
          <w:rFonts w:ascii="Aptos" w:eastAsia="Gulim" w:hAnsi="Aptos" w:cs="Gulim"/>
          <w14:ligatures w14:val="standardContextual"/>
        </w:rPr>
        <w:t>).</w:t>
      </w:r>
    </w:p>
    <w:p w14:paraId="0EE8C3B1" w14:textId="77777777" w:rsidR="00DD6DB7" w:rsidRPr="00DD6DB7" w:rsidRDefault="00DD6DB7" w:rsidP="00DD6DB7">
      <w:pPr>
        <w:spacing w:after="0" w:line="240" w:lineRule="auto"/>
        <w:jc w:val="both"/>
        <w:rPr>
          <w:rFonts w:ascii="Aptos" w:eastAsia="Gulim" w:hAnsi="Aptos" w:cs="Gulim"/>
          <w14:ligatures w14:val="standardContextual"/>
        </w:rPr>
      </w:pPr>
    </w:p>
    <w:p w14:paraId="12A8210A"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NHS England has engaged with clinical and professional bodies to establish which patient groups to prioritise for treatment based on clinical benefits. In primary care, the following groups will be prioritised:</w:t>
      </w:r>
    </w:p>
    <w:p w14:paraId="570837E6" w14:textId="77777777" w:rsidR="00DD6DB7" w:rsidRPr="00DD6DB7" w:rsidRDefault="00DD6DB7" w:rsidP="00DD6DB7">
      <w:pPr>
        <w:spacing w:after="0" w:line="240" w:lineRule="auto"/>
        <w:jc w:val="both"/>
        <w:rPr>
          <w:rFonts w:ascii="Aptos" w:eastAsia="Gulim" w:hAnsi="Aptos" w:cs="Gulim"/>
          <w14:ligatures w14:val="standardContextual"/>
        </w:rPr>
      </w:pPr>
    </w:p>
    <w:tbl>
      <w:tblPr>
        <w:tblStyle w:val="TableGrid"/>
        <w:tblW w:w="0" w:type="auto"/>
        <w:tblLook w:val="04A0" w:firstRow="1" w:lastRow="0" w:firstColumn="1" w:lastColumn="0" w:noHBand="0" w:noVBand="1"/>
      </w:tblPr>
      <w:tblGrid>
        <w:gridCol w:w="996"/>
        <w:gridCol w:w="984"/>
        <w:gridCol w:w="5528"/>
        <w:gridCol w:w="1418"/>
      </w:tblGrid>
      <w:tr w:rsidR="00DD6DB7" w:rsidRPr="00DD6DB7" w14:paraId="1A2186F6" w14:textId="77777777" w:rsidTr="00E72709">
        <w:tc>
          <w:tcPr>
            <w:tcW w:w="996" w:type="dxa"/>
          </w:tcPr>
          <w:p w14:paraId="71556664" w14:textId="77777777" w:rsidR="00DD6DB7" w:rsidRPr="00DD6DB7" w:rsidRDefault="00DD6DB7" w:rsidP="00DD6DB7">
            <w:pPr>
              <w:jc w:val="both"/>
              <w:rPr>
                <w:rFonts w:ascii="Aptos" w:eastAsia="Gulim" w:hAnsi="Aptos" w:cs="Gulim"/>
              </w:rPr>
            </w:pPr>
            <w:r w:rsidRPr="00DD6DB7">
              <w:rPr>
                <w:rFonts w:ascii="Aptos" w:eastAsia="Gulim" w:hAnsi="Aptos" w:cs="Gulim"/>
              </w:rPr>
              <w:t>Year</w:t>
            </w:r>
          </w:p>
        </w:tc>
        <w:tc>
          <w:tcPr>
            <w:tcW w:w="984" w:type="dxa"/>
          </w:tcPr>
          <w:p w14:paraId="7446037C" w14:textId="77777777" w:rsidR="00DD6DB7" w:rsidRPr="00DD6DB7" w:rsidRDefault="00DD6DB7" w:rsidP="00DD6DB7">
            <w:pPr>
              <w:jc w:val="both"/>
              <w:rPr>
                <w:rFonts w:ascii="Aptos" w:eastAsia="Gulim" w:hAnsi="Aptos" w:cs="Gulim"/>
              </w:rPr>
            </w:pPr>
            <w:r w:rsidRPr="00DD6DB7">
              <w:rPr>
                <w:rFonts w:ascii="Aptos" w:eastAsia="Gulim" w:hAnsi="Aptos" w:cs="Gulim"/>
              </w:rPr>
              <w:t>Cohort</w:t>
            </w:r>
          </w:p>
        </w:tc>
        <w:tc>
          <w:tcPr>
            <w:tcW w:w="5528" w:type="dxa"/>
          </w:tcPr>
          <w:p w14:paraId="3D00A14F" w14:textId="77777777" w:rsidR="00DD6DB7" w:rsidRPr="00DD6DB7" w:rsidRDefault="00DD6DB7" w:rsidP="00DD6DB7">
            <w:pPr>
              <w:jc w:val="both"/>
              <w:rPr>
                <w:rFonts w:ascii="Aptos" w:eastAsia="Gulim" w:hAnsi="Aptos" w:cs="Gulim"/>
              </w:rPr>
            </w:pPr>
            <w:r w:rsidRPr="00DD6DB7">
              <w:rPr>
                <w:rFonts w:ascii="Aptos" w:eastAsia="Gulim" w:hAnsi="Aptos" w:cs="Gulim"/>
              </w:rPr>
              <w:t>Related health conditions</w:t>
            </w:r>
          </w:p>
        </w:tc>
        <w:tc>
          <w:tcPr>
            <w:tcW w:w="1418" w:type="dxa"/>
          </w:tcPr>
          <w:p w14:paraId="5C3937E0" w14:textId="77777777" w:rsidR="00DD6DB7" w:rsidRPr="00DD6DB7" w:rsidRDefault="00DD6DB7" w:rsidP="00DD6DB7">
            <w:pPr>
              <w:jc w:val="both"/>
              <w:rPr>
                <w:rFonts w:ascii="Aptos" w:eastAsia="Gulim" w:hAnsi="Aptos" w:cs="Gulim"/>
              </w:rPr>
            </w:pPr>
            <w:r w:rsidRPr="00DD6DB7">
              <w:rPr>
                <w:rFonts w:ascii="Aptos" w:eastAsia="Gulim" w:hAnsi="Aptos" w:cs="Gulim"/>
              </w:rPr>
              <w:t>Body Mass Index (BMI)*</w:t>
            </w:r>
          </w:p>
        </w:tc>
      </w:tr>
      <w:tr w:rsidR="00DD6DB7" w:rsidRPr="00DD6DB7" w14:paraId="34AB5C14" w14:textId="77777777" w:rsidTr="00E72709">
        <w:tc>
          <w:tcPr>
            <w:tcW w:w="996" w:type="dxa"/>
          </w:tcPr>
          <w:p w14:paraId="13434524" w14:textId="77777777" w:rsidR="00DD6DB7" w:rsidRPr="00DD6DB7" w:rsidRDefault="00DD6DB7" w:rsidP="00DD6DB7">
            <w:pPr>
              <w:jc w:val="both"/>
              <w:rPr>
                <w:rFonts w:ascii="Aptos" w:eastAsia="Gulim" w:hAnsi="Aptos" w:cs="Gulim"/>
              </w:rPr>
            </w:pPr>
            <w:r w:rsidRPr="00DD6DB7">
              <w:rPr>
                <w:rFonts w:ascii="Aptos" w:eastAsia="Gulim" w:hAnsi="Aptos" w:cs="Gulim"/>
              </w:rPr>
              <w:t>2025/26</w:t>
            </w:r>
          </w:p>
        </w:tc>
        <w:tc>
          <w:tcPr>
            <w:tcW w:w="984" w:type="dxa"/>
          </w:tcPr>
          <w:p w14:paraId="16C02B48" w14:textId="77777777" w:rsidR="00DD6DB7" w:rsidRPr="00DD6DB7" w:rsidRDefault="00DD6DB7" w:rsidP="00DD6DB7">
            <w:pPr>
              <w:jc w:val="both"/>
              <w:rPr>
                <w:rFonts w:ascii="Aptos" w:eastAsia="Gulim" w:hAnsi="Aptos" w:cs="Gulim"/>
              </w:rPr>
            </w:pPr>
            <w:r w:rsidRPr="00DD6DB7">
              <w:rPr>
                <w:rFonts w:ascii="Aptos" w:eastAsia="Gulim" w:hAnsi="Aptos" w:cs="Gulim"/>
              </w:rPr>
              <w:t>1</w:t>
            </w:r>
          </w:p>
        </w:tc>
        <w:tc>
          <w:tcPr>
            <w:tcW w:w="5528" w:type="dxa"/>
          </w:tcPr>
          <w:p w14:paraId="65491B48" w14:textId="77777777" w:rsidR="00DD6DB7" w:rsidRPr="00DD6DB7" w:rsidRDefault="00DD6DB7" w:rsidP="00DD6DB7">
            <w:pPr>
              <w:jc w:val="both"/>
              <w:rPr>
                <w:rFonts w:ascii="Aptos" w:eastAsia="Gulim" w:hAnsi="Aptos" w:cs="Gulim"/>
              </w:rPr>
            </w:pPr>
            <w:r w:rsidRPr="00DD6DB7">
              <w:rPr>
                <w:rFonts w:ascii="Aptos" w:eastAsia="Gulim" w:hAnsi="Aptos" w:cs="Gulim"/>
              </w:rPr>
              <w:t>≥4 of:</w:t>
            </w:r>
          </w:p>
          <w:p w14:paraId="40A886DA" w14:textId="77777777" w:rsidR="00DD6DB7" w:rsidRPr="00DD6DB7" w:rsidRDefault="00DD6DB7" w:rsidP="00DD6DB7">
            <w:pPr>
              <w:numPr>
                <w:ilvl w:val="0"/>
                <w:numId w:val="19"/>
              </w:numPr>
              <w:contextualSpacing/>
              <w:jc w:val="both"/>
              <w:rPr>
                <w:rFonts w:ascii="Aptos" w:eastAsia="Gulim" w:hAnsi="Aptos" w:cs="Gulim"/>
              </w:rPr>
            </w:pPr>
            <w:r w:rsidRPr="00DD6DB7">
              <w:rPr>
                <w:rFonts w:ascii="Aptos" w:eastAsia="Gulim" w:hAnsi="Aptos" w:cs="Gulim"/>
              </w:rPr>
              <w:t>hypertension (high blood pressure)</w:t>
            </w:r>
          </w:p>
          <w:p w14:paraId="1C4A300A" w14:textId="77777777" w:rsidR="00DD6DB7" w:rsidRPr="00DD6DB7" w:rsidRDefault="00DD6DB7" w:rsidP="00DD6DB7">
            <w:pPr>
              <w:numPr>
                <w:ilvl w:val="0"/>
                <w:numId w:val="19"/>
              </w:numPr>
              <w:contextualSpacing/>
              <w:jc w:val="both"/>
              <w:rPr>
                <w:rFonts w:ascii="Aptos" w:eastAsia="Gulim" w:hAnsi="Aptos" w:cs="Gulim"/>
              </w:rPr>
            </w:pPr>
            <w:r w:rsidRPr="00DD6DB7">
              <w:rPr>
                <w:rFonts w:ascii="Aptos" w:eastAsia="Gulim" w:hAnsi="Aptos" w:cs="Gulim"/>
              </w:rPr>
              <w:t>dyslipidaemia (unhealthy lipid levels in the bloodstream)</w:t>
            </w:r>
          </w:p>
          <w:p w14:paraId="6521B71D" w14:textId="77777777" w:rsidR="00DD6DB7" w:rsidRPr="00DD6DB7" w:rsidRDefault="00DD6DB7" w:rsidP="00DD6DB7">
            <w:pPr>
              <w:numPr>
                <w:ilvl w:val="0"/>
                <w:numId w:val="19"/>
              </w:numPr>
              <w:contextualSpacing/>
              <w:jc w:val="both"/>
              <w:rPr>
                <w:rFonts w:ascii="Aptos" w:eastAsia="Gulim" w:hAnsi="Aptos" w:cs="Gulim"/>
              </w:rPr>
            </w:pPr>
            <w:r w:rsidRPr="00DD6DB7">
              <w:rPr>
                <w:rFonts w:ascii="Aptos" w:eastAsia="Gulim" w:hAnsi="Aptos" w:cs="Gulim"/>
              </w:rPr>
              <w:t>obstructive sleep apnoea (frequent, temporary pauses in breathing during sleep, caused by a blockage in the airway)</w:t>
            </w:r>
          </w:p>
          <w:p w14:paraId="597AB850" w14:textId="77777777" w:rsidR="00DD6DB7" w:rsidRPr="00DD6DB7" w:rsidRDefault="00DD6DB7" w:rsidP="00DD6DB7">
            <w:pPr>
              <w:numPr>
                <w:ilvl w:val="0"/>
                <w:numId w:val="19"/>
              </w:numPr>
              <w:contextualSpacing/>
              <w:jc w:val="both"/>
              <w:rPr>
                <w:rFonts w:ascii="Aptos" w:eastAsia="Gulim" w:hAnsi="Aptos" w:cs="Gulim"/>
              </w:rPr>
            </w:pPr>
            <w:r w:rsidRPr="00DD6DB7">
              <w:rPr>
                <w:rFonts w:ascii="Aptos" w:eastAsia="Gulim" w:hAnsi="Aptos" w:cs="Gulim"/>
              </w:rPr>
              <w:t>cardiovascular disease (heart and blood vessel disease)</w:t>
            </w:r>
          </w:p>
          <w:p w14:paraId="53FDBAAA" w14:textId="77777777" w:rsidR="00DD6DB7" w:rsidRPr="00DD6DB7" w:rsidRDefault="00DD6DB7" w:rsidP="00DD6DB7">
            <w:pPr>
              <w:numPr>
                <w:ilvl w:val="0"/>
                <w:numId w:val="19"/>
              </w:numPr>
              <w:contextualSpacing/>
              <w:jc w:val="both"/>
              <w:rPr>
                <w:rFonts w:ascii="Aptos" w:eastAsia="Gulim" w:hAnsi="Aptos" w:cs="Gulim"/>
              </w:rPr>
            </w:pPr>
            <w:r w:rsidRPr="00DD6DB7">
              <w:rPr>
                <w:rFonts w:ascii="Aptos" w:eastAsia="Gulim" w:hAnsi="Aptos" w:cs="Gulim"/>
              </w:rPr>
              <w:t>type 2 diabetes mellitus (not enough insulin or insulin resistance leading to high blood sugar levels)</w:t>
            </w:r>
          </w:p>
        </w:tc>
        <w:tc>
          <w:tcPr>
            <w:tcW w:w="1418" w:type="dxa"/>
          </w:tcPr>
          <w:p w14:paraId="47EEF149" w14:textId="77777777" w:rsidR="00DD6DB7" w:rsidRPr="00DD6DB7" w:rsidRDefault="00DD6DB7" w:rsidP="00DD6DB7">
            <w:pPr>
              <w:jc w:val="both"/>
              <w:rPr>
                <w:rFonts w:ascii="Aptos" w:eastAsia="Gulim" w:hAnsi="Aptos" w:cs="Gulim"/>
              </w:rPr>
            </w:pPr>
            <w:r w:rsidRPr="00DD6DB7">
              <w:rPr>
                <w:rFonts w:ascii="Aptos" w:eastAsia="Gulim" w:hAnsi="Aptos" w:cs="Gulim"/>
              </w:rPr>
              <w:t>≥40</w:t>
            </w:r>
          </w:p>
        </w:tc>
      </w:tr>
      <w:tr w:rsidR="00DD6DB7" w:rsidRPr="00DD6DB7" w14:paraId="01D5DC49" w14:textId="77777777" w:rsidTr="00E72709">
        <w:tc>
          <w:tcPr>
            <w:tcW w:w="996" w:type="dxa"/>
          </w:tcPr>
          <w:p w14:paraId="2CF84DF3" w14:textId="77777777" w:rsidR="00DD6DB7" w:rsidRPr="00DD6DB7" w:rsidRDefault="00DD6DB7" w:rsidP="00DD6DB7">
            <w:pPr>
              <w:jc w:val="both"/>
              <w:rPr>
                <w:rFonts w:ascii="Aptos" w:eastAsia="Gulim" w:hAnsi="Aptos" w:cs="Gulim"/>
              </w:rPr>
            </w:pPr>
            <w:r w:rsidRPr="00DD6DB7">
              <w:rPr>
                <w:rFonts w:ascii="Aptos" w:eastAsia="Gulim" w:hAnsi="Aptos" w:cs="Gulim"/>
              </w:rPr>
              <w:t>2026/27</w:t>
            </w:r>
          </w:p>
        </w:tc>
        <w:tc>
          <w:tcPr>
            <w:tcW w:w="984" w:type="dxa"/>
          </w:tcPr>
          <w:p w14:paraId="4CD31F38" w14:textId="77777777" w:rsidR="00DD6DB7" w:rsidRPr="00DD6DB7" w:rsidRDefault="00DD6DB7" w:rsidP="00DD6DB7">
            <w:pPr>
              <w:jc w:val="both"/>
              <w:rPr>
                <w:rFonts w:ascii="Aptos" w:eastAsia="Gulim" w:hAnsi="Aptos" w:cs="Gulim"/>
              </w:rPr>
            </w:pPr>
            <w:r w:rsidRPr="00DD6DB7">
              <w:rPr>
                <w:rFonts w:ascii="Aptos" w:eastAsia="Gulim" w:hAnsi="Aptos" w:cs="Gulim"/>
              </w:rPr>
              <w:t>2</w:t>
            </w:r>
          </w:p>
        </w:tc>
        <w:tc>
          <w:tcPr>
            <w:tcW w:w="5528" w:type="dxa"/>
          </w:tcPr>
          <w:p w14:paraId="5A618D2C" w14:textId="77777777" w:rsidR="00DD6DB7" w:rsidRPr="00DD6DB7" w:rsidRDefault="00DD6DB7" w:rsidP="00DD6DB7">
            <w:pPr>
              <w:jc w:val="both"/>
              <w:rPr>
                <w:rFonts w:ascii="Aptos" w:eastAsia="Gulim" w:hAnsi="Aptos" w:cs="Gulim"/>
              </w:rPr>
            </w:pPr>
            <w:r w:rsidRPr="00DD6DB7">
              <w:rPr>
                <w:rFonts w:ascii="Aptos" w:eastAsia="Gulim" w:hAnsi="Aptos" w:cs="Gulim"/>
              </w:rPr>
              <w:t>As above</w:t>
            </w:r>
          </w:p>
        </w:tc>
        <w:tc>
          <w:tcPr>
            <w:tcW w:w="1418" w:type="dxa"/>
          </w:tcPr>
          <w:p w14:paraId="6B71A50D" w14:textId="77777777" w:rsidR="00DD6DB7" w:rsidRPr="00DD6DB7" w:rsidRDefault="00DD6DB7" w:rsidP="00DD6DB7">
            <w:pPr>
              <w:jc w:val="both"/>
              <w:rPr>
                <w:rFonts w:ascii="Aptos" w:eastAsia="Gulim" w:hAnsi="Aptos" w:cs="Gulim"/>
              </w:rPr>
            </w:pPr>
            <w:r w:rsidRPr="00DD6DB7">
              <w:rPr>
                <w:rFonts w:ascii="Aptos" w:eastAsia="Gulim" w:hAnsi="Aptos" w:cs="Gulim"/>
              </w:rPr>
              <w:t>35-39.9</w:t>
            </w:r>
          </w:p>
        </w:tc>
      </w:tr>
      <w:tr w:rsidR="00DD6DB7" w:rsidRPr="00DD6DB7" w14:paraId="7C4235EB" w14:textId="77777777" w:rsidTr="00E72709">
        <w:tc>
          <w:tcPr>
            <w:tcW w:w="996" w:type="dxa"/>
          </w:tcPr>
          <w:p w14:paraId="04709A0A" w14:textId="77777777" w:rsidR="00DD6DB7" w:rsidRPr="00DD6DB7" w:rsidRDefault="00DD6DB7" w:rsidP="00DD6DB7">
            <w:pPr>
              <w:jc w:val="both"/>
              <w:rPr>
                <w:rFonts w:ascii="Aptos" w:eastAsia="Gulim" w:hAnsi="Aptos" w:cs="Gulim"/>
              </w:rPr>
            </w:pPr>
            <w:r w:rsidRPr="00DD6DB7">
              <w:rPr>
                <w:rFonts w:ascii="Aptos" w:eastAsia="Gulim" w:hAnsi="Aptos" w:cs="Gulim"/>
              </w:rPr>
              <w:t>2027/28</w:t>
            </w:r>
          </w:p>
        </w:tc>
        <w:tc>
          <w:tcPr>
            <w:tcW w:w="984" w:type="dxa"/>
          </w:tcPr>
          <w:p w14:paraId="6ED229FB" w14:textId="77777777" w:rsidR="00DD6DB7" w:rsidRPr="00DD6DB7" w:rsidRDefault="00DD6DB7" w:rsidP="00DD6DB7">
            <w:pPr>
              <w:jc w:val="both"/>
              <w:rPr>
                <w:rFonts w:ascii="Aptos" w:eastAsia="Gulim" w:hAnsi="Aptos" w:cs="Gulim"/>
              </w:rPr>
            </w:pPr>
            <w:r w:rsidRPr="00DD6DB7">
              <w:rPr>
                <w:rFonts w:ascii="Aptos" w:eastAsia="Gulim" w:hAnsi="Aptos" w:cs="Gulim"/>
              </w:rPr>
              <w:t>3</w:t>
            </w:r>
          </w:p>
        </w:tc>
        <w:tc>
          <w:tcPr>
            <w:tcW w:w="5528" w:type="dxa"/>
          </w:tcPr>
          <w:p w14:paraId="0FA1636F" w14:textId="77777777" w:rsidR="00DD6DB7" w:rsidRPr="00DD6DB7" w:rsidRDefault="00DD6DB7" w:rsidP="00DD6DB7">
            <w:pPr>
              <w:jc w:val="both"/>
              <w:rPr>
                <w:rFonts w:ascii="Aptos" w:eastAsia="Gulim" w:hAnsi="Aptos" w:cs="Gulim"/>
              </w:rPr>
            </w:pPr>
            <w:r w:rsidRPr="00DD6DB7">
              <w:rPr>
                <w:rFonts w:ascii="Aptos" w:eastAsia="Gulim" w:hAnsi="Aptos" w:cs="Gulim"/>
              </w:rPr>
              <w:t>3 of:</w:t>
            </w:r>
          </w:p>
          <w:p w14:paraId="3D705B30" w14:textId="77777777" w:rsidR="00DD6DB7" w:rsidRPr="00DD6DB7" w:rsidRDefault="00DD6DB7" w:rsidP="00DD6DB7">
            <w:pPr>
              <w:numPr>
                <w:ilvl w:val="0"/>
                <w:numId w:val="19"/>
              </w:numPr>
              <w:jc w:val="both"/>
              <w:rPr>
                <w:rFonts w:ascii="Aptos" w:eastAsia="Gulim" w:hAnsi="Aptos" w:cs="Gulim"/>
              </w:rPr>
            </w:pPr>
            <w:r w:rsidRPr="00DD6DB7">
              <w:rPr>
                <w:rFonts w:ascii="Aptos" w:eastAsia="Gulim" w:hAnsi="Aptos" w:cs="Gulim"/>
              </w:rPr>
              <w:t>hypertension (high blood pressure)</w:t>
            </w:r>
          </w:p>
          <w:p w14:paraId="1A670D51" w14:textId="77777777" w:rsidR="00DD6DB7" w:rsidRPr="00DD6DB7" w:rsidRDefault="00DD6DB7" w:rsidP="00DD6DB7">
            <w:pPr>
              <w:numPr>
                <w:ilvl w:val="0"/>
                <w:numId w:val="19"/>
              </w:numPr>
              <w:jc w:val="both"/>
              <w:rPr>
                <w:rFonts w:ascii="Aptos" w:eastAsia="Gulim" w:hAnsi="Aptos" w:cs="Gulim"/>
              </w:rPr>
            </w:pPr>
            <w:r w:rsidRPr="00DD6DB7">
              <w:rPr>
                <w:rFonts w:ascii="Aptos" w:eastAsia="Gulim" w:hAnsi="Aptos" w:cs="Gulim"/>
              </w:rPr>
              <w:t>dyslipidaemia (unhealthy lipid levels in the bloodstream)</w:t>
            </w:r>
          </w:p>
          <w:p w14:paraId="7E769DD6" w14:textId="77777777" w:rsidR="00DD6DB7" w:rsidRPr="00DD6DB7" w:rsidRDefault="00DD6DB7" w:rsidP="00DD6DB7">
            <w:pPr>
              <w:numPr>
                <w:ilvl w:val="0"/>
                <w:numId w:val="19"/>
              </w:numPr>
              <w:jc w:val="both"/>
              <w:rPr>
                <w:rFonts w:ascii="Aptos" w:eastAsia="Gulim" w:hAnsi="Aptos" w:cs="Gulim"/>
              </w:rPr>
            </w:pPr>
            <w:r w:rsidRPr="00DD6DB7">
              <w:rPr>
                <w:rFonts w:ascii="Aptos" w:eastAsia="Gulim" w:hAnsi="Aptos" w:cs="Gulim"/>
              </w:rPr>
              <w:t>obstructive sleep apnoea (frequent, temporary pauses in breathing during sleep, caused by a blockage in the airway)</w:t>
            </w:r>
          </w:p>
          <w:p w14:paraId="27920A89" w14:textId="77777777" w:rsidR="00DD6DB7" w:rsidRPr="00DD6DB7" w:rsidRDefault="00DD6DB7" w:rsidP="00DD6DB7">
            <w:pPr>
              <w:numPr>
                <w:ilvl w:val="0"/>
                <w:numId w:val="19"/>
              </w:numPr>
              <w:jc w:val="both"/>
              <w:rPr>
                <w:rFonts w:ascii="Aptos" w:eastAsia="Gulim" w:hAnsi="Aptos" w:cs="Gulim"/>
              </w:rPr>
            </w:pPr>
            <w:r w:rsidRPr="00DD6DB7">
              <w:rPr>
                <w:rFonts w:ascii="Aptos" w:eastAsia="Gulim" w:hAnsi="Aptos" w:cs="Gulim"/>
              </w:rPr>
              <w:t>cardiovascular disease (heart and blood vessel disease)</w:t>
            </w:r>
          </w:p>
          <w:p w14:paraId="28AB03E9" w14:textId="77777777" w:rsidR="00DD6DB7" w:rsidRPr="00DD6DB7" w:rsidRDefault="00DD6DB7" w:rsidP="00DD6DB7">
            <w:pPr>
              <w:numPr>
                <w:ilvl w:val="0"/>
                <w:numId w:val="19"/>
              </w:numPr>
              <w:jc w:val="both"/>
              <w:rPr>
                <w:rFonts w:ascii="Aptos" w:eastAsia="Gulim" w:hAnsi="Aptos" w:cs="Gulim"/>
              </w:rPr>
            </w:pPr>
            <w:r w:rsidRPr="00DD6DB7">
              <w:rPr>
                <w:rFonts w:ascii="Aptos" w:eastAsia="Gulim" w:hAnsi="Aptos" w:cs="Gulim"/>
              </w:rPr>
              <w:t>type 2 diabetes mellitus (not enough insulin or insulin resistance leading to high blood sugar levels)</w:t>
            </w:r>
          </w:p>
        </w:tc>
        <w:tc>
          <w:tcPr>
            <w:tcW w:w="1418" w:type="dxa"/>
          </w:tcPr>
          <w:p w14:paraId="43C1C8D4" w14:textId="77777777" w:rsidR="00DD6DB7" w:rsidRPr="00DD6DB7" w:rsidRDefault="00DD6DB7" w:rsidP="00DD6DB7">
            <w:pPr>
              <w:jc w:val="both"/>
              <w:rPr>
                <w:rFonts w:ascii="Aptos" w:eastAsia="Gulim" w:hAnsi="Aptos" w:cs="Gulim"/>
              </w:rPr>
            </w:pPr>
            <w:r w:rsidRPr="00DD6DB7">
              <w:rPr>
                <w:rFonts w:ascii="Aptos" w:eastAsia="Gulim" w:hAnsi="Aptos" w:cs="Gulim"/>
              </w:rPr>
              <w:t>≥40</w:t>
            </w:r>
          </w:p>
        </w:tc>
      </w:tr>
    </w:tbl>
    <w:p w14:paraId="131B6E76"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*Use a lower BMI threshold (usually reduced by 2.5 kg/m</w:t>
      </w:r>
      <w:r w:rsidRPr="00DD6DB7">
        <w:rPr>
          <w:rFonts w:ascii="Aptos" w:eastAsia="Gulim" w:hAnsi="Aptos" w:cs="Gulim"/>
          <w:vertAlign w:val="superscript"/>
          <w14:ligatures w14:val="standardContextual"/>
        </w:rPr>
        <w:t>2</w:t>
      </w:r>
      <w:r w:rsidRPr="00DD6DB7">
        <w:rPr>
          <w:rFonts w:ascii="Aptos" w:eastAsia="Gulim" w:hAnsi="Aptos" w:cs="Gulim"/>
          <w14:ligatures w14:val="standardContextual"/>
        </w:rPr>
        <w:t>) for people from South Asian, Chinese, other Asian, Middle Eastern, Black African or African-Caribbean ethnic backgrounds</w:t>
      </w:r>
    </w:p>
    <w:p w14:paraId="1E696289" w14:textId="77777777" w:rsidR="00DD6DB7" w:rsidRPr="00DD6DB7" w:rsidRDefault="00DD6DB7" w:rsidP="00DD6DB7">
      <w:pPr>
        <w:spacing w:after="0" w:line="240" w:lineRule="auto"/>
        <w:jc w:val="both"/>
        <w:rPr>
          <w:rFonts w:ascii="Aptos" w:eastAsia="Gulim" w:hAnsi="Aptos" w:cs="Gulim"/>
          <w14:ligatures w14:val="standardContextual"/>
        </w:rPr>
      </w:pPr>
    </w:p>
    <w:p w14:paraId="4BF5E80D"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What are the recommendations from the NICE appraisal?</w:t>
      </w:r>
    </w:p>
    <w:p w14:paraId="33D42319" w14:textId="77777777" w:rsidR="00DD6DB7" w:rsidRPr="00DD6DB7" w:rsidRDefault="00DD6DB7" w:rsidP="00DD6DB7">
      <w:pPr>
        <w:spacing w:after="0" w:line="240" w:lineRule="auto"/>
        <w:jc w:val="both"/>
        <w:rPr>
          <w:rFonts w:ascii="Aptos" w:eastAsia="Gulim" w:hAnsi="Aptos" w:cs="Gulim"/>
          <w14:ligatures w14:val="standardContextual"/>
        </w:rPr>
      </w:pPr>
    </w:p>
    <w:p w14:paraId="6C5350E5"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 xml:space="preserve">It is estimated that around 3.4 million people in England are eligible for the drug. The roll out of tirzepatide will have to be carefully managed to ensure healthcare professionals can continue to meet the full range of health needs of all their patients. Initially, only those with the highest </w:t>
      </w:r>
      <w:r w:rsidRPr="00DD6DB7">
        <w:rPr>
          <w:rFonts w:ascii="Aptos" w:eastAsia="Gulim" w:hAnsi="Aptos" w:cs="Gulim"/>
          <w14:ligatures w14:val="standardContextual"/>
        </w:rPr>
        <w:lastRenderedPageBreak/>
        <w:t>clinical need will be prioritised to receive the medication while the NHS tests a variety of new services to care for people living with obesity.</w:t>
      </w:r>
    </w:p>
    <w:p w14:paraId="535340B9" w14:textId="77777777" w:rsidR="00DD6DB7" w:rsidRPr="00DD6DB7" w:rsidRDefault="00DD6DB7" w:rsidP="00DD6DB7">
      <w:pPr>
        <w:spacing w:after="0" w:line="240" w:lineRule="auto"/>
        <w:jc w:val="both"/>
        <w:rPr>
          <w:rFonts w:ascii="Aptos" w:eastAsia="Gulim" w:hAnsi="Aptos" w:cs="Gulim"/>
          <w14:ligatures w14:val="standardContextual"/>
        </w:rPr>
      </w:pPr>
    </w:p>
    <w:p w14:paraId="3BE6E9D3"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NHS England has engaged with relevant clinical and professional bodies to develop the patient prioritisation approach and issued interim commissioning guidance.</w:t>
      </w:r>
    </w:p>
    <w:p w14:paraId="24A51DB8" w14:textId="77777777" w:rsidR="00DD6DB7" w:rsidRPr="00DD6DB7" w:rsidRDefault="00DD6DB7" w:rsidP="00DD6DB7">
      <w:pPr>
        <w:spacing w:after="0" w:line="240" w:lineRule="auto"/>
        <w:jc w:val="both"/>
        <w:rPr>
          <w:rFonts w:ascii="Aptos" w:eastAsia="Gulim" w:hAnsi="Aptos" w:cs="Gulim"/>
          <w14:ligatures w14:val="standardContextual"/>
        </w:rPr>
      </w:pPr>
    </w:p>
    <w:p w14:paraId="6D71DC0E"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NICE will evaluate the implementation and delivery of tirzepatide over the next 3 years to determine how the scaling and phasing should progress and to inform further NICE guidance around whether access to tirzepatide can be expanded rapidly by the NHS.</w:t>
      </w:r>
    </w:p>
    <w:p w14:paraId="4413F87A" w14:textId="77777777" w:rsidR="00DD6DB7" w:rsidRPr="00DD6DB7" w:rsidRDefault="00DD6DB7" w:rsidP="00DD6DB7">
      <w:pPr>
        <w:spacing w:after="0" w:line="240" w:lineRule="auto"/>
        <w:jc w:val="both"/>
        <w:rPr>
          <w:rFonts w:ascii="Aptos" w:eastAsia="Gulim" w:hAnsi="Aptos" w:cs="Gulim"/>
          <w14:ligatures w14:val="standardContextual"/>
        </w:rPr>
      </w:pPr>
    </w:p>
    <w:p w14:paraId="4D302FAB"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How does this influence the weight management pathway?</w:t>
      </w:r>
    </w:p>
    <w:p w14:paraId="4CA19AAC" w14:textId="77777777" w:rsidR="00DD6DB7" w:rsidRPr="00DD6DB7" w:rsidRDefault="00DD6DB7" w:rsidP="00DD6DB7">
      <w:pPr>
        <w:spacing w:after="0" w:line="240" w:lineRule="auto"/>
        <w:jc w:val="both"/>
        <w:rPr>
          <w:rFonts w:ascii="Aptos" w:eastAsia="Gulim" w:hAnsi="Aptos" w:cs="Gulim"/>
          <w14:ligatures w14:val="standardContextual"/>
        </w:rPr>
      </w:pPr>
    </w:p>
    <w:p w14:paraId="6EB7935F" w14:textId="77777777" w:rsidR="00DD6DB7" w:rsidRPr="00DD6DB7" w:rsidRDefault="00DD6DB7" w:rsidP="00DD6DB7">
      <w:pPr>
        <w:spacing w:after="0" w:line="240" w:lineRule="auto"/>
        <w:jc w:val="both"/>
        <w:rPr>
          <w:rFonts w:ascii="Aptos" w:eastAsia="Gulim" w:hAnsi="Aptos" w:cs="Gulim"/>
          <w14:ligatures w14:val="standardContextual"/>
        </w:rPr>
      </w:pPr>
      <w:proofErr w:type="gramStart"/>
      <w:r w:rsidRPr="00DD6DB7">
        <w:rPr>
          <w:rFonts w:ascii="Aptos" w:eastAsia="Gulim" w:hAnsi="Aptos" w:cs="Gulim"/>
          <w14:ligatures w14:val="standardContextual"/>
        </w:rPr>
        <w:t>NICE published</w:t>
      </w:r>
      <w:proofErr w:type="gramEnd"/>
      <w:r w:rsidRPr="00DD6DB7">
        <w:rPr>
          <w:rFonts w:ascii="Aptos" w:eastAsia="Gulim" w:hAnsi="Aptos" w:cs="Gulim"/>
          <w14:ligatures w14:val="standardContextual"/>
        </w:rPr>
        <w:t xml:space="preserve"> overweight and obesity management guidelines alongside the NICE TA guidance for tirzepatide. The introduction of tirzepatide into primary care settings will influence current services and change the future of weight management pathways. </w:t>
      </w:r>
    </w:p>
    <w:p w14:paraId="139D8A04" w14:textId="77777777" w:rsidR="00DD6DB7" w:rsidRPr="00DD6DB7" w:rsidRDefault="00DD6DB7" w:rsidP="00DD6DB7">
      <w:pPr>
        <w:spacing w:after="0" w:line="240" w:lineRule="auto"/>
        <w:jc w:val="both"/>
        <w:rPr>
          <w:rFonts w:ascii="Aptos" w:eastAsia="Gulim" w:hAnsi="Aptos" w:cs="Gulim"/>
          <w14:ligatures w14:val="standardContextual"/>
        </w:rPr>
      </w:pPr>
    </w:p>
    <w:p w14:paraId="1DC48183"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ICBs including Northamptonshire ICB, are considering the current weight management service provision and access pathways to ascertain whether adaptations can be made to align them, where possible, with the NICE updated overweight and obesity guidelines, taking a patient centred approach.</w:t>
      </w:r>
    </w:p>
    <w:p w14:paraId="16A95210" w14:textId="77777777" w:rsidR="00DD6DB7" w:rsidRPr="00DD6DB7" w:rsidRDefault="00DD6DB7" w:rsidP="00DD6DB7">
      <w:pPr>
        <w:spacing w:after="0" w:line="240" w:lineRule="auto"/>
        <w:jc w:val="both"/>
        <w:rPr>
          <w:rFonts w:ascii="Aptos" w:eastAsia="Gulim" w:hAnsi="Aptos" w:cs="Gulim"/>
          <w14:ligatures w14:val="standardContextual"/>
        </w:rPr>
      </w:pPr>
    </w:p>
    <w:p w14:paraId="78BDF09F"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NHS England will continue to engage with ICBs on the implementation and delivery models for tirzepatide as part of an integrated service.</w:t>
      </w:r>
    </w:p>
    <w:p w14:paraId="29C50889" w14:textId="77777777" w:rsidR="00DD6DB7" w:rsidRPr="00DD6DB7" w:rsidRDefault="00DD6DB7" w:rsidP="00DD6DB7">
      <w:pPr>
        <w:spacing w:after="0" w:line="240" w:lineRule="auto"/>
        <w:jc w:val="both"/>
        <w:rPr>
          <w:rFonts w:ascii="Aptos" w:eastAsia="Gulim" w:hAnsi="Aptos" w:cs="Gulim"/>
          <w14:ligatures w14:val="standardContextual"/>
        </w:rPr>
      </w:pPr>
    </w:p>
    <w:p w14:paraId="06E54484"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Can I access tirzepatide straight away?</w:t>
      </w:r>
    </w:p>
    <w:p w14:paraId="24824024" w14:textId="77777777" w:rsidR="00DD6DB7" w:rsidRPr="00DD6DB7" w:rsidRDefault="00DD6DB7" w:rsidP="00DD6DB7">
      <w:pPr>
        <w:spacing w:after="0" w:line="240" w:lineRule="auto"/>
        <w:jc w:val="both"/>
        <w:rPr>
          <w:rFonts w:ascii="Aptos" w:eastAsia="Gulim" w:hAnsi="Aptos" w:cs="Gulim"/>
          <w14:ligatures w14:val="standardContextual"/>
        </w:rPr>
      </w:pPr>
    </w:p>
    <w:p w14:paraId="33E363CB"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Introducing this new treatment to NICE’s estimated 3.4 million eligible patients requires the NHS in England to develop a completely new service for primary care and many healthcare professionals will need to be trained to deliver it.  A staged approach will help manage demand on existing healthcare services. This allows the safe prescribing of tirzepatide and the appropriate support for patients.</w:t>
      </w:r>
    </w:p>
    <w:p w14:paraId="35783DDC"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br/>
        <w:t>Tirzepatide will initially be offered to individuals facing the most significant health risks related to their weight.</w:t>
      </w:r>
    </w:p>
    <w:p w14:paraId="60E9F5F7"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br/>
        <w:t>Tirzepatide will not immediately be available and will not be accessible to everyone who wishes to use it. Initially, tirzepatide will only be available on the NHS to those expected to benefit the most. People who are eligible through primary care services should expect to start to get access during 2025. </w:t>
      </w:r>
    </w:p>
    <w:p w14:paraId="0A8DE4CB" w14:textId="77777777" w:rsidR="00DD6DB7" w:rsidRPr="00DD6DB7" w:rsidRDefault="00DD6DB7" w:rsidP="00DD6DB7">
      <w:pPr>
        <w:spacing w:after="0" w:line="240" w:lineRule="auto"/>
        <w:jc w:val="both"/>
        <w:rPr>
          <w:rFonts w:ascii="Aptos" w:eastAsia="Gulim" w:hAnsi="Aptos" w:cs="Gulim"/>
          <w14:ligatures w14:val="standardContextual"/>
        </w:rPr>
      </w:pPr>
    </w:p>
    <w:p w14:paraId="008EEDFB"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 xml:space="preserve">What is a staged approach? </w:t>
      </w:r>
    </w:p>
    <w:p w14:paraId="064C6C6F" w14:textId="77777777" w:rsidR="00DD6DB7" w:rsidRPr="00DD6DB7" w:rsidRDefault="00DD6DB7" w:rsidP="00DD6DB7">
      <w:pPr>
        <w:spacing w:after="0" w:line="240" w:lineRule="auto"/>
        <w:jc w:val="both"/>
        <w:rPr>
          <w:rFonts w:ascii="Aptos" w:eastAsia="Gulim" w:hAnsi="Aptos" w:cs="Gulim"/>
          <w14:ligatures w14:val="standardContextual"/>
        </w:rPr>
      </w:pPr>
    </w:p>
    <w:p w14:paraId="3CE8A548"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A staged approach to service rollout within primary care means the NHS in England will manage the flow of patients to the health system so it does not become overwhelmed.</w:t>
      </w:r>
    </w:p>
    <w:p w14:paraId="4419A104"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br/>
        <w:t>This approach will ensure the service is delivered safely and that the NHS in England is able to plan for an increase in service demand, whilst building specific skills and knowledge within the workforce. </w:t>
      </w:r>
    </w:p>
    <w:p w14:paraId="2642F996" w14:textId="77777777" w:rsidR="00DD6DB7" w:rsidRPr="00DD6DB7" w:rsidRDefault="00DD6DB7" w:rsidP="00DD6DB7">
      <w:pPr>
        <w:spacing w:after="0" w:line="240" w:lineRule="auto"/>
        <w:jc w:val="both"/>
        <w:rPr>
          <w:rFonts w:ascii="Aptos" w:eastAsia="Gulim" w:hAnsi="Aptos" w:cs="Gulim"/>
          <w14:ligatures w14:val="standardContextual"/>
        </w:rPr>
      </w:pPr>
    </w:p>
    <w:p w14:paraId="726DAEE1"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How does tirzepatide work for weight loss?</w:t>
      </w:r>
    </w:p>
    <w:p w14:paraId="74DAE133" w14:textId="77777777" w:rsidR="00DD6DB7" w:rsidRPr="00DD6DB7" w:rsidRDefault="00DD6DB7" w:rsidP="00DD6DB7">
      <w:pPr>
        <w:spacing w:after="0" w:line="240" w:lineRule="auto"/>
        <w:jc w:val="both"/>
        <w:rPr>
          <w:rFonts w:ascii="Aptos" w:eastAsia="Gulim" w:hAnsi="Aptos" w:cs="Gulim"/>
          <w14:ligatures w14:val="standardContextual"/>
        </w:rPr>
      </w:pPr>
    </w:p>
    <w:p w14:paraId="0BFE5E49"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lastRenderedPageBreak/>
        <w:t>Tirzepatide works by supressing appetite centres in the brain that control gut hormones. It decreases the appetite and slows the movement of food passing through the body, making you feel fuller for longer. Clinical trials have shown tirzepatide can help people living with obesity lose up 20% of their starting body weight, depending on the dose and accompanying diet and lifestyle support.</w:t>
      </w:r>
      <w:r w:rsidRPr="00DD6DB7">
        <w:rPr>
          <w:rFonts w:ascii="Aptos" w:eastAsia="Gulim" w:hAnsi="Aptos" w:cs="Gulim"/>
          <w14:ligatures w14:val="standardContextual"/>
        </w:rPr>
        <w:br/>
      </w:r>
      <w:r w:rsidRPr="00DD6DB7">
        <w:rPr>
          <w:rFonts w:ascii="Aptos" w:eastAsia="Gulim" w:hAnsi="Aptos" w:cs="Gulim"/>
          <w14:ligatures w14:val="standardContextual"/>
        </w:rPr>
        <w:br/>
        <w:t>Tirzepatide can only be prescribed by a healthcare professional alongside programmes which support people to lose weight and live healthier lives by making changes to their diet and physical activity. Tirzepatide comes as an injection, which can be self-administered once a week.</w:t>
      </w:r>
    </w:p>
    <w:p w14:paraId="3873DAA1" w14:textId="77777777" w:rsidR="00DD6DB7" w:rsidRPr="00DD6DB7" w:rsidRDefault="00DD6DB7" w:rsidP="00DD6DB7">
      <w:pPr>
        <w:spacing w:after="0" w:line="240" w:lineRule="auto"/>
        <w:jc w:val="both"/>
        <w:rPr>
          <w:rFonts w:ascii="Aptos" w:eastAsia="Gulim" w:hAnsi="Aptos" w:cs="Gulim"/>
          <w14:ligatures w14:val="standardContextual"/>
        </w:rPr>
      </w:pPr>
    </w:p>
    <w:p w14:paraId="4F973099"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What if a patient is already receiving tirzepatide treatment?</w:t>
      </w:r>
    </w:p>
    <w:p w14:paraId="76303CD0" w14:textId="77777777" w:rsidR="00DD6DB7" w:rsidRPr="00DD6DB7" w:rsidRDefault="00DD6DB7" w:rsidP="00DD6DB7">
      <w:pPr>
        <w:spacing w:after="0" w:line="240" w:lineRule="auto"/>
        <w:jc w:val="both"/>
        <w:rPr>
          <w:rFonts w:ascii="Aptos" w:eastAsia="Gulim" w:hAnsi="Aptos" w:cs="Gulim"/>
          <w14:ligatures w14:val="standardContextual"/>
        </w:rPr>
      </w:pPr>
    </w:p>
    <w:p w14:paraId="3399F299"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Patients can continue taking tirzepatide if they are prescribed it to manage their diabetes. If patients are using tirzepatide they have acquired privately, they may be able to access the medication through an NHS prescription if they meet the NICE and NHS qualifying criteria.</w:t>
      </w:r>
    </w:p>
    <w:p w14:paraId="33FC94F3" w14:textId="77777777" w:rsidR="00DD6DB7" w:rsidRPr="00DD6DB7" w:rsidRDefault="00DD6DB7" w:rsidP="00DD6DB7">
      <w:pPr>
        <w:spacing w:after="0" w:line="240" w:lineRule="auto"/>
        <w:jc w:val="both"/>
        <w:rPr>
          <w:rFonts w:ascii="Aptos" w:eastAsia="Gulim" w:hAnsi="Aptos" w:cs="Gulim"/>
          <w14:ligatures w14:val="standardContextual"/>
        </w:rPr>
      </w:pPr>
    </w:p>
    <w:p w14:paraId="7BEAFF0C"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Will everyone who is eligible have access to the drug? </w:t>
      </w:r>
    </w:p>
    <w:p w14:paraId="01476839" w14:textId="77777777" w:rsidR="00DD6DB7" w:rsidRPr="00DD6DB7" w:rsidRDefault="00DD6DB7" w:rsidP="00DD6DB7">
      <w:pPr>
        <w:spacing w:after="0" w:line="240" w:lineRule="auto"/>
        <w:jc w:val="both"/>
        <w:rPr>
          <w:rFonts w:ascii="Aptos" w:eastAsia="Gulim" w:hAnsi="Aptos" w:cs="Gulim"/>
          <w14:ligatures w14:val="standardContextual"/>
        </w:rPr>
      </w:pPr>
    </w:p>
    <w:p w14:paraId="2B7605BC"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Tirzepatide might not be suitable for everyone and not everyone who meets the eligibility criteria will want to use it to support their weight loss. A healthcare professional will discuss the most appropriate care and support, based on individual patient’s need. This could include behavioural support programmes, medical options including prescribing or bariatric surgery. </w:t>
      </w:r>
    </w:p>
    <w:p w14:paraId="69C6CB85" w14:textId="77777777" w:rsidR="00DD6DB7" w:rsidRPr="00DD6DB7" w:rsidRDefault="00DD6DB7" w:rsidP="00DD6DB7">
      <w:pPr>
        <w:spacing w:after="0" w:line="240" w:lineRule="auto"/>
        <w:jc w:val="both"/>
        <w:rPr>
          <w:rFonts w:ascii="Aptos" w:eastAsia="Gulim" w:hAnsi="Aptos" w:cs="Gulim"/>
          <w14:ligatures w14:val="standardContextual"/>
        </w:rPr>
      </w:pPr>
    </w:p>
    <w:p w14:paraId="0A7AAAF0"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b/>
          <w:bCs/>
          <w14:ligatures w14:val="standardContextual"/>
        </w:rPr>
        <w:t>I’m currently on a waiting list for NHS specialist weight management services. Can I transfer to another list to access this drug?</w:t>
      </w:r>
    </w:p>
    <w:p w14:paraId="1EFC6D7D"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br/>
        <w:t>A healthcare professional will determine if it is appropriate for you to receive tirzepatide as part of your care in a different care setting (for example, through primary care).</w:t>
      </w:r>
    </w:p>
    <w:p w14:paraId="55012602" w14:textId="77777777" w:rsidR="00DD6DB7" w:rsidRPr="00DD6DB7" w:rsidRDefault="00DD6DB7" w:rsidP="00DD6DB7">
      <w:pPr>
        <w:spacing w:after="0" w:line="240" w:lineRule="auto"/>
        <w:jc w:val="both"/>
        <w:rPr>
          <w:rFonts w:ascii="Aptos" w:eastAsia="Gulim" w:hAnsi="Aptos" w:cs="Gulim"/>
          <w14:ligatures w14:val="standardContextual"/>
        </w:rPr>
      </w:pPr>
    </w:p>
    <w:p w14:paraId="281BED26"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The NICE appraisal mentions ‘wraparound’ care. What does this mean?</w:t>
      </w:r>
    </w:p>
    <w:p w14:paraId="52659D26" w14:textId="77777777" w:rsidR="00DD6DB7" w:rsidRPr="00DD6DB7" w:rsidRDefault="00DD6DB7" w:rsidP="00DD6DB7">
      <w:pPr>
        <w:spacing w:after="0" w:line="240" w:lineRule="auto"/>
        <w:jc w:val="both"/>
        <w:rPr>
          <w:rFonts w:ascii="Aptos" w:eastAsia="Gulim" w:hAnsi="Aptos" w:cs="Gulim"/>
          <w14:ligatures w14:val="standardContextual"/>
        </w:rPr>
      </w:pPr>
    </w:p>
    <w:p w14:paraId="1F4AAC8C"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Any patient prescribed tirzepatide must participate in the specifically designed wraparound care required by NICE guidance. This focuses on diet, nutrition and increasing physical activity. Patients cannot be prescribed tirzepatide if they do not wish to undertake the wraparound care support.</w:t>
      </w:r>
    </w:p>
    <w:p w14:paraId="0ECA465D" w14:textId="77777777" w:rsidR="00DD6DB7" w:rsidRPr="00DD6DB7" w:rsidRDefault="00DD6DB7" w:rsidP="00DD6DB7">
      <w:pPr>
        <w:spacing w:after="0" w:line="240" w:lineRule="auto"/>
        <w:jc w:val="both"/>
        <w:rPr>
          <w:rFonts w:ascii="Aptos" w:eastAsia="Gulim" w:hAnsi="Aptos" w:cs="Gulim"/>
          <w14:ligatures w14:val="standardContextual"/>
        </w:rPr>
      </w:pPr>
    </w:p>
    <w:p w14:paraId="00FA068D" w14:textId="77777777" w:rsidR="00DD6DB7" w:rsidRPr="00DD6DB7" w:rsidRDefault="00DD6DB7" w:rsidP="00DD6DB7">
      <w:pPr>
        <w:spacing w:after="0" w:line="240" w:lineRule="auto"/>
        <w:jc w:val="both"/>
        <w:rPr>
          <w:rFonts w:ascii="Aptos" w:eastAsia="Gulim" w:hAnsi="Aptos" w:cs="Gulim"/>
          <w:b/>
          <w:bCs/>
          <w14:ligatures w14:val="standardContextual"/>
        </w:rPr>
      </w:pPr>
      <w:r w:rsidRPr="00DD6DB7">
        <w:rPr>
          <w:rFonts w:ascii="Aptos" w:eastAsia="Gulim" w:hAnsi="Aptos" w:cs="Gulim"/>
          <w:b/>
          <w:bCs/>
          <w14:ligatures w14:val="standardContextual"/>
        </w:rPr>
        <w:t>Will there be a cost to the patient for being prescribed tirzepatide?</w:t>
      </w:r>
    </w:p>
    <w:p w14:paraId="12D9FB82" w14:textId="77777777" w:rsidR="00DD6DB7" w:rsidRPr="00DD6DB7" w:rsidRDefault="00DD6DB7" w:rsidP="00DD6DB7">
      <w:pPr>
        <w:spacing w:after="0" w:line="240" w:lineRule="auto"/>
        <w:jc w:val="both"/>
        <w:rPr>
          <w:rFonts w:ascii="Aptos" w:eastAsia="Gulim" w:hAnsi="Aptos" w:cs="Gulim"/>
          <w14:ligatures w14:val="standardContextual"/>
        </w:rPr>
      </w:pPr>
    </w:p>
    <w:p w14:paraId="4F926B1D" w14:textId="77777777" w:rsidR="00DD6DB7" w:rsidRPr="00DD6DB7" w:rsidRDefault="00DD6DB7" w:rsidP="00DD6DB7">
      <w:pPr>
        <w:spacing w:after="0" w:line="240" w:lineRule="auto"/>
        <w:jc w:val="both"/>
        <w:rPr>
          <w:rFonts w:ascii="Aptos" w:eastAsia="Gulim" w:hAnsi="Aptos" w:cs="Gulim"/>
          <w14:ligatures w14:val="standardContextual"/>
        </w:rPr>
      </w:pPr>
      <w:r w:rsidRPr="00DD6DB7">
        <w:rPr>
          <w:rFonts w:ascii="Aptos" w:eastAsia="Gulim" w:hAnsi="Aptos" w:cs="Gulim"/>
          <w14:ligatures w14:val="standardContextual"/>
        </w:rPr>
        <w:t>Normal prescription charges will apply unless you are entitled to free NHS prescriptions (for example, because you have a medical exemption certificate).</w:t>
      </w:r>
    </w:p>
    <w:p w14:paraId="4F7A08D6" w14:textId="77777777" w:rsidR="00D709F5" w:rsidRPr="00DD6DB7" w:rsidRDefault="00D709F5" w:rsidP="00841269">
      <w:pPr>
        <w:rPr>
          <w:rFonts w:ascii="Aptos" w:eastAsia="Gulim" w:hAnsi="Aptos" w:cs="Gulim"/>
          <w:sz w:val="24"/>
          <w:szCs w:val="24"/>
          <w14:ligatures w14:val="standardContextual"/>
        </w:rPr>
      </w:pPr>
    </w:p>
    <w:sectPr w:rsidR="00D709F5" w:rsidRPr="00DD6DB7" w:rsidSect="007276E3">
      <w:headerReference w:type="default" r:id="rId10"/>
      <w:footerReference w:type="default" r:id="rId11"/>
      <w:headerReference w:type="first" r:id="rId12"/>
      <w:footerReference w:type="first" r:id="rId13"/>
      <w:type w:val="continuous"/>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66AE" w14:textId="77777777" w:rsidR="00CE7F76" w:rsidRDefault="00CE7F76" w:rsidP="00051374">
      <w:pPr>
        <w:spacing w:after="0" w:line="240" w:lineRule="auto"/>
      </w:pPr>
      <w:r>
        <w:separator/>
      </w:r>
    </w:p>
  </w:endnote>
  <w:endnote w:type="continuationSeparator" w:id="0">
    <w:p w14:paraId="733B03F2" w14:textId="77777777" w:rsidR="00CE7F76" w:rsidRDefault="00CE7F76" w:rsidP="0005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C105" w14:textId="0E18D255" w:rsidR="00051374" w:rsidRPr="00DD6DB7" w:rsidRDefault="00DD6DB7" w:rsidP="007276E3">
    <w:pPr>
      <w:pStyle w:val="Footer"/>
      <w:jc w:val="right"/>
      <w:rPr>
        <w:rFonts w:cs="Arial"/>
        <w:b/>
        <w:bCs/>
        <w:color w:val="0F9ED5"/>
      </w:rPr>
    </w:pPr>
    <w:sdt>
      <w:sdtPr>
        <w:id w:val="-1344940803"/>
        <w:docPartObj>
          <w:docPartGallery w:val="Page Numbers (Bottom of Page)"/>
          <w:docPartUnique/>
        </w:docPartObj>
      </w:sdtPr>
      <w:sdtEndPr>
        <w:rPr>
          <w:rFonts w:cs="Arial"/>
          <w:b/>
          <w:bCs/>
          <w:noProof/>
          <w:color w:val="000000"/>
        </w:rPr>
      </w:sdtEndPr>
      <w:sdtContent>
        <w:r w:rsidR="00051374" w:rsidRPr="00DD6DB7">
          <w:rPr>
            <w:rFonts w:cs="Arial"/>
            <w:b/>
            <w:bCs/>
            <w:color w:val="000000"/>
          </w:rPr>
          <w:fldChar w:fldCharType="begin"/>
        </w:r>
        <w:r w:rsidR="00051374" w:rsidRPr="00DD6DB7">
          <w:rPr>
            <w:rFonts w:cs="Arial"/>
            <w:b/>
            <w:bCs/>
            <w:color w:val="000000"/>
          </w:rPr>
          <w:instrText xml:space="preserve"> PAGE   \* MERGEFORMAT </w:instrText>
        </w:r>
        <w:r w:rsidR="00051374" w:rsidRPr="00DD6DB7">
          <w:rPr>
            <w:rFonts w:cs="Arial"/>
            <w:b/>
            <w:bCs/>
            <w:color w:val="000000"/>
          </w:rPr>
          <w:fldChar w:fldCharType="separate"/>
        </w:r>
        <w:r w:rsidR="00051374" w:rsidRPr="00DD6DB7">
          <w:rPr>
            <w:rFonts w:cs="Arial"/>
            <w:b/>
            <w:bCs/>
            <w:noProof/>
            <w:color w:val="000000"/>
          </w:rPr>
          <w:t>2</w:t>
        </w:r>
        <w:r w:rsidR="00051374" w:rsidRPr="00DD6DB7">
          <w:rPr>
            <w:rFonts w:cs="Arial"/>
            <w:b/>
            <w:bCs/>
            <w:noProof/>
            <w:color w:val="000000"/>
          </w:rPr>
          <w:fldChar w:fldCharType="end"/>
        </w:r>
      </w:sdtContent>
    </w:sdt>
  </w:p>
  <w:p w14:paraId="305486C7" w14:textId="6949C538" w:rsidR="00051374" w:rsidRDefault="00841269">
    <w:pPr>
      <w:pStyle w:val="Footer"/>
    </w:pPr>
    <w:r>
      <w:rPr>
        <w:b/>
        <w:bCs/>
        <w:noProof/>
        <w:color w:val="808080"/>
        <w:sz w:val="14"/>
      </w:rPr>
      <mc:AlternateContent>
        <mc:Choice Requires="wps">
          <w:drawing>
            <wp:anchor distT="0" distB="0" distL="114300" distR="114300" simplePos="0" relativeHeight="251676672" behindDoc="0" locked="0" layoutInCell="1" allowOverlap="1" wp14:anchorId="69DEDEDA" wp14:editId="47E5E91F">
              <wp:simplePos x="0" y="0"/>
              <wp:positionH relativeFrom="page">
                <wp:posOffset>0</wp:posOffset>
              </wp:positionH>
              <wp:positionV relativeFrom="paragraph">
                <wp:posOffset>239395</wp:posOffset>
              </wp:positionV>
              <wp:extent cx="7572375" cy="361950"/>
              <wp:effectExtent l="0" t="0" r="952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2375" cy="361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C5E48" w14:textId="5AD890B1" w:rsidR="00AA10AF" w:rsidRPr="00AA10AF" w:rsidRDefault="00AA10AF" w:rsidP="00AA10AF">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DEDEDA" id="Rectangle 6" o:spid="_x0000_s1026" alt="&quot;&quot;" style="position:absolute;margin-left:0;margin-top:18.85pt;width:596.25pt;height:28.5pt;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" fillcolor="#0da5bf [3204]" stroked="f" strokeweight="1pt">
              <v:textbox>
                <w:txbxContent>
                  <w:p w14:paraId="498C5E48" w14:textId="5AD890B1" w:rsidR="00AA10AF" w:rsidRPr="00AA10AF" w:rsidRDefault="00AA10AF" w:rsidP="00AA10AF">
                    <w:pPr>
                      <w:rPr>
                        <w:sz w:val="16"/>
                        <w:szCs w:val="16"/>
                      </w:rPr>
                    </w:pPr>
                  </w:p>
                </w:txbxContent>
              </v:textbox>
              <w10:wrap anchorx="page"/>
            </v:rect>
          </w:pict>
        </mc:Fallback>
      </mc:AlternateContent>
    </w:r>
  </w:p>
  <w:p w14:paraId="2FED4579" w14:textId="77777777" w:rsidR="00B60398" w:rsidRDefault="00B603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0A2B" w14:textId="1C1F1C09" w:rsidR="001015E3" w:rsidRDefault="001015E3">
    <w:pPr>
      <w:pStyle w:val="Footer"/>
    </w:pPr>
    <w:r>
      <w:rPr>
        <w:noProof/>
      </w:rPr>
      <w:drawing>
        <wp:anchor distT="0" distB="0" distL="114300" distR="114300" simplePos="0" relativeHeight="251674624" behindDoc="1" locked="0" layoutInCell="1" allowOverlap="1" wp14:anchorId="2D3A5C03" wp14:editId="50F18116">
          <wp:simplePos x="0" y="0"/>
          <wp:positionH relativeFrom="page">
            <wp:posOffset>0</wp:posOffset>
          </wp:positionH>
          <wp:positionV relativeFrom="paragraph">
            <wp:posOffset>-277786</wp:posOffset>
          </wp:positionV>
          <wp:extent cx="7539990" cy="232410"/>
          <wp:effectExtent l="0" t="0" r="3810" b="0"/>
          <wp:wrapTight wrapText="bothSides">
            <wp:wrapPolygon edited="0">
              <wp:start x="0" y="0"/>
              <wp:lineTo x="0" y="19475"/>
              <wp:lineTo x="21556" y="19475"/>
              <wp:lineTo x="2155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97820"/>
                  <a:stretch/>
                </pic:blipFill>
                <pic:spPr bwMode="auto">
                  <a:xfrm>
                    <a:off x="0" y="0"/>
                    <a:ext cx="7539990" cy="232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DD44" w14:textId="77777777" w:rsidR="00CE7F76" w:rsidRDefault="00CE7F76" w:rsidP="00051374">
      <w:pPr>
        <w:spacing w:after="0" w:line="240" w:lineRule="auto"/>
      </w:pPr>
      <w:r>
        <w:separator/>
      </w:r>
    </w:p>
  </w:footnote>
  <w:footnote w:type="continuationSeparator" w:id="0">
    <w:p w14:paraId="2A14AAEA" w14:textId="77777777" w:rsidR="00CE7F76" w:rsidRDefault="00CE7F76" w:rsidP="00051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4313" w14:textId="156D084E" w:rsidR="007276E3" w:rsidRDefault="007276E3">
    <w:pPr>
      <w:pStyle w:val="Header"/>
    </w:pPr>
    <w:r>
      <w:rPr>
        <w:noProof/>
      </w:rPr>
      <w:drawing>
        <wp:anchor distT="0" distB="0" distL="114300" distR="114300" simplePos="0" relativeHeight="251678720" behindDoc="1" locked="0" layoutInCell="1" allowOverlap="1" wp14:anchorId="12E44991" wp14:editId="560839BB">
          <wp:simplePos x="0" y="0"/>
          <wp:positionH relativeFrom="column">
            <wp:posOffset>4819650</wp:posOffset>
          </wp:positionH>
          <wp:positionV relativeFrom="paragraph">
            <wp:posOffset>-171450</wp:posOffset>
          </wp:positionV>
          <wp:extent cx="1567536" cy="720000"/>
          <wp:effectExtent l="0" t="0" r="0" b="0"/>
          <wp:wrapTight wrapText="bothSides">
            <wp:wrapPolygon edited="0">
              <wp:start x="12078" y="0"/>
              <wp:lineTo x="263" y="10295"/>
              <wp:lineTo x="263" y="14298"/>
              <wp:lineTo x="4464" y="19446"/>
              <wp:lineTo x="7352" y="20590"/>
              <wp:lineTo x="8402" y="20590"/>
              <wp:lineTo x="20742" y="18874"/>
              <wp:lineTo x="21267" y="0"/>
              <wp:lineTo x="12078"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536"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A3D97" w14:textId="77777777" w:rsidR="00B60398" w:rsidRDefault="00B603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C5DD" w14:textId="19B1AC3E" w:rsidR="00051374" w:rsidRDefault="001015E3">
    <w:pPr>
      <w:pStyle w:val="Header"/>
    </w:pPr>
    <w:r w:rsidRPr="00DD6DB7">
      <w:rPr>
        <w:rFonts w:cs="Arial"/>
        <w:b/>
        <w:bCs/>
        <w:noProof/>
        <w:color w:val="FFFFFF"/>
      </w:rPr>
      <mc:AlternateContent>
        <mc:Choice Requires="wps">
          <w:drawing>
            <wp:anchor distT="0" distB="0" distL="114300" distR="114300" simplePos="0" relativeHeight="251673600" behindDoc="1" locked="0" layoutInCell="1" allowOverlap="1" wp14:anchorId="47E2E624" wp14:editId="380D3002">
              <wp:simplePos x="0" y="0"/>
              <wp:positionH relativeFrom="page">
                <wp:posOffset>0</wp:posOffset>
              </wp:positionH>
              <wp:positionV relativeFrom="paragraph">
                <wp:posOffset>16510</wp:posOffset>
              </wp:positionV>
              <wp:extent cx="7553325" cy="142875"/>
              <wp:effectExtent l="0" t="0" r="9525" b="952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01992" id="Rectangle 22" o:spid="_x0000_s1026" alt="&quot;&quot;" style="position:absolute;margin-left:0;margin-top:1.3pt;width:594.75pt;height:11.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" fillcolor="#0da5bf [3204]" stroked="f" strokeweight="1pt">
              <w10:wrap anchorx="page"/>
            </v:rect>
          </w:pict>
        </mc:Fallback>
      </mc:AlternateContent>
    </w:r>
    <w:r>
      <w:rPr>
        <w:noProof/>
      </w:rPr>
      <w:drawing>
        <wp:anchor distT="0" distB="0" distL="114300" distR="114300" simplePos="0" relativeHeight="251671552" behindDoc="1" locked="0" layoutInCell="1" allowOverlap="1" wp14:anchorId="299A834D" wp14:editId="6BA748B2">
          <wp:simplePos x="0" y="0"/>
          <wp:positionH relativeFrom="column">
            <wp:posOffset>4404995</wp:posOffset>
          </wp:positionH>
          <wp:positionV relativeFrom="paragraph">
            <wp:posOffset>-1026795</wp:posOffset>
          </wp:positionV>
          <wp:extent cx="2000885" cy="923925"/>
          <wp:effectExtent l="0" t="0" r="0" b="0"/>
          <wp:wrapTight wrapText="bothSides">
            <wp:wrapPolygon edited="0">
              <wp:start x="12133" y="445"/>
              <wp:lineTo x="12133" y="8462"/>
              <wp:lineTo x="617" y="10243"/>
              <wp:lineTo x="617" y="14697"/>
              <wp:lineTo x="4524" y="15588"/>
              <wp:lineTo x="4319" y="19151"/>
              <wp:lineTo x="7198" y="20041"/>
              <wp:lineTo x="8637" y="20041"/>
              <wp:lineTo x="20976" y="19151"/>
              <wp:lineTo x="21182" y="445"/>
              <wp:lineTo x="12133" y="445"/>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00885"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434"/>
    <w:multiLevelType w:val="hybridMultilevel"/>
    <w:tmpl w:val="BA9C761E"/>
    <w:lvl w:ilvl="0" w:tplc="8EFCFFE2">
      <w:start w:val="1"/>
      <w:numFmt w:val="bullet"/>
      <w:pStyle w:val="Bullets2"/>
      <w:lvlText w:val=""/>
      <w:lvlJc w:val="left"/>
      <w:pPr>
        <w:ind w:left="720" w:hanging="360"/>
      </w:pPr>
      <w:rPr>
        <w:rFonts w:ascii="Symbol" w:hAnsi="Symbol" w:hint="default"/>
      </w:rPr>
    </w:lvl>
    <w:lvl w:ilvl="1" w:tplc="DED04EEA">
      <w:start w:val="1"/>
      <w:numFmt w:val="bullet"/>
      <w:pStyle w:val="Bullets3"/>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02494"/>
    <w:multiLevelType w:val="hybridMultilevel"/>
    <w:tmpl w:val="E4E4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4AA4"/>
    <w:multiLevelType w:val="hybridMultilevel"/>
    <w:tmpl w:val="615A53BC"/>
    <w:lvl w:ilvl="0" w:tplc="BD1C5F54">
      <w:numFmt w:val="bullet"/>
      <w:lvlText w:val=""/>
      <w:lvlJc w:val="left"/>
      <w:pPr>
        <w:ind w:left="825" w:hanging="360"/>
      </w:pPr>
      <w:rPr>
        <w:rFonts w:ascii="Symbol" w:eastAsia="Symbol" w:hAnsi="Symbol" w:cs="Symbol" w:hint="default"/>
        <w:w w:val="100"/>
        <w:sz w:val="22"/>
        <w:szCs w:val="22"/>
        <w:lang w:val="en-GB" w:eastAsia="en-GB" w:bidi="en-GB"/>
      </w:rPr>
    </w:lvl>
    <w:lvl w:ilvl="1" w:tplc="7F185B58">
      <w:numFmt w:val="bullet"/>
      <w:lvlText w:val="•"/>
      <w:lvlJc w:val="left"/>
      <w:pPr>
        <w:ind w:left="1198" w:hanging="360"/>
      </w:pPr>
      <w:rPr>
        <w:rFonts w:hint="default"/>
        <w:lang w:val="en-GB" w:eastAsia="en-GB" w:bidi="en-GB"/>
      </w:rPr>
    </w:lvl>
    <w:lvl w:ilvl="2" w:tplc="D43A5AAC">
      <w:numFmt w:val="bullet"/>
      <w:lvlText w:val="•"/>
      <w:lvlJc w:val="left"/>
      <w:pPr>
        <w:ind w:left="1577" w:hanging="360"/>
      </w:pPr>
      <w:rPr>
        <w:rFonts w:hint="default"/>
        <w:lang w:val="en-GB" w:eastAsia="en-GB" w:bidi="en-GB"/>
      </w:rPr>
    </w:lvl>
    <w:lvl w:ilvl="3" w:tplc="037CE5D0">
      <w:numFmt w:val="bullet"/>
      <w:lvlText w:val="•"/>
      <w:lvlJc w:val="left"/>
      <w:pPr>
        <w:ind w:left="1956" w:hanging="360"/>
      </w:pPr>
      <w:rPr>
        <w:rFonts w:hint="default"/>
        <w:lang w:val="en-GB" w:eastAsia="en-GB" w:bidi="en-GB"/>
      </w:rPr>
    </w:lvl>
    <w:lvl w:ilvl="4" w:tplc="06D4766E">
      <w:numFmt w:val="bullet"/>
      <w:lvlText w:val="•"/>
      <w:lvlJc w:val="left"/>
      <w:pPr>
        <w:ind w:left="2335" w:hanging="360"/>
      </w:pPr>
      <w:rPr>
        <w:rFonts w:hint="default"/>
        <w:lang w:val="en-GB" w:eastAsia="en-GB" w:bidi="en-GB"/>
      </w:rPr>
    </w:lvl>
    <w:lvl w:ilvl="5" w:tplc="F10E6100">
      <w:numFmt w:val="bullet"/>
      <w:lvlText w:val="•"/>
      <w:lvlJc w:val="left"/>
      <w:pPr>
        <w:ind w:left="2714" w:hanging="360"/>
      </w:pPr>
      <w:rPr>
        <w:rFonts w:hint="default"/>
        <w:lang w:val="en-GB" w:eastAsia="en-GB" w:bidi="en-GB"/>
      </w:rPr>
    </w:lvl>
    <w:lvl w:ilvl="6" w:tplc="AE0A2E3E">
      <w:numFmt w:val="bullet"/>
      <w:lvlText w:val="•"/>
      <w:lvlJc w:val="left"/>
      <w:pPr>
        <w:ind w:left="3093" w:hanging="360"/>
      </w:pPr>
      <w:rPr>
        <w:rFonts w:hint="default"/>
        <w:lang w:val="en-GB" w:eastAsia="en-GB" w:bidi="en-GB"/>
      </w:rPr>
    </w:lvl>
    <w:lvl w:ilvl="7" w:tplc="46964378">
      <w:numFmt w:val="bullet"/>
      <w:lvlText w:val="•"/>
      <w:lvlJc w:val="left"/>
      <w:pPr>
        <w:ind w:left="3471" w:hanging="360"/>
      </w:pPr>
      <w:rPr>
        <w:rFonts w:hint="default"/>
        <w:lang w:val="en-GB" w:eastAsia="en-GB" w:bidi="en-GB"/>
      </w:rPr>
    </w:lvl>
    <w:lvl w:ilvl="8" w:tplc="A19E9872">
      <w:numFmt w:val="bullet"/>
      <w:lvlText w:val="•"/>
      <w:lvlJc w:val="left"/>
      <w:pPr>
        <w:ind w:left="3850" w:hanging="360"/>
      </w:pPr>
      <w:rPr>
        <w:rFonts w:hint="default"/>
        <w:lang w:val="en-GB" w:eastAsia="en-GB" w:bidi="en-GB"/>
      </w:rPr>
    </w:lvl>
  </w:abstractNum>
  <w:abstractNum w:abstractNumId="3" w15:restartNumberingAfterBreak="0">
    <w:nsid w:val="1D5D1D59"/>
    <w:multiLevelType w:val="hybridMultilevel"/>
    <w:tmpl w:val="25D47C44"/>
    <w:lvl w:ilvl="0" w:tplc="C9068450">
      <w:numFmt w:val="bullet"/>
      <w:lvlText w:val=""/>
      <w:lvlJc w:val="left"/>
      <w:pPr>
        <w:ind w:left="828" w:hanging="361"/>
      </w:pPr>
      <w:rPr>
        <w:rFonts w:ascii="Symbol" w:eastAsia="Symbol" w:hAnsi="Symbol" w:cs="Symbol" w:hint="default"/>
        <w:w w:val="100"/>
        <w:sz w:val="22"/>
        <w:szCs w:val="22"/>
        <w:lang w:val="en-GB" w:eastAsia="en-GB" w:bidi="en-GB"/>
      </w:rPr>
    </w:lvl>
    <w:lvl w:ilvl="1" w:tplc="815C1F0E">
      <w:numFmt w:val="bullet"/>
      <w:lvlText w:val="•"/>
      <w:lvlJc w:val="left"/>
      <w:pPr>
        <w:ind w:left="1199" w:hanging="361"/>
      </w:pPr>
      <w:rPr>
        <w:rFonts w:hint="default"/>
        <w:lang w:val="en-GB" w:eastAsia="en-GB" w:bidi="en-GB"/>
      </w:rPr>
    </w:lvl>
    <w:lvl w:ilvl="2" w:tplc="9BCA42FA">
      <w:numFmt w:val="bullet"/>
      <w:lvlText w:val="•"/>
      <w:lvlJc w:val="left"/>
      <w:pPr>
        <w:ind w:left="1578" w:hanging="361"/>
      </w:pPr>
      <w:rPr>
        <w:rFonts w:hint="default"/>
        <w:lang w:val="en-GB" w:eastAsia="en-GB" w:bidi="en-GB"/>
      </w:rPr>
    </w:lvl>
    <w:lvl w:ilvl="3" w:tplc="F5DC939E">
      <w:numFmt w:val="bullet"/>
      <w:lvlText w:val="•"/>
      <w:lvlJc w:val="left"/>
      <w:pPr>
        <w:ind w:left="1958" w:hanging="361"/>
      </w:pPr>
      <w:rPr>
        <w:rFonts w:hint="default"/>
        <w:lang w:val="en-GB" w:eastAsia="en-GB" w:bidi="en-GB"/>
      </w:rPr>
    </w:lvl>
    <w:lvl w:ilvl="4" w:tplc="989C2A16">
      <w:numFmt w:val="bullet"/>
      <w:lvlText w:val="•"/>
      <w:lvlJc w:val="left"/>
      <w:pPr>
        <w:ind w:left="2337" w:hanging="361"/>
      </w:pPr>
      <w:rPr>
        <w:rFonts w:hint="default"/>
        <w:lang w:val="en-GB" w:eastAsia="en-GB" w:bidi="en-GB"/>
      </w:rPr>
    </w:lvl>
    <w:lvl w:ilvl="5" w:tplc="020CC8CC">
      <w:numFmt w:val="bullet"/>
      <w:lvlText w:val="•"/>
      <w:lvlJc w:val="left"/>
      <w:pPr>
        <w:ind w:left="2717" w:hanging="361"/>
      </w:pPr>
      <w:rPr>
        <w:rFonts w:hint="default"/>
        <w:lang w:val="en-GB" w:eastAsia="en-GB" w:bidi="en-GB"/>
      </w:rPr>
    </w:lvl>
    <w:lvl w:ilvl="6" w:tplc="F20A108E">
      <w:numFmt w:val="bullet"/>
      <w:lvlText w:val="•"/>
      <w:lvlJc w:val="left"/>
      <w:pPr>
        <w:ind w:left="3096" w:hanging="361"/>
      </w:pPr>
      <w:rPr>
        <w:rFonts w:hint="default"/>
        <w:lang w:val="en-GB" w:eastAsia="en-GB" w:bidi="en-GB"/>
      </w:rPr>
    </w:lvl>
    <w:lvl w:ilvl="7" w:tplc="897CD6B0">
      <w:numFmt w:val="bullet"/>
      <w:lvlText w:val="•"/>
      <w:lvlJc w:val="left"/>
      <w:pPr>
        <w:ind w:left="3475" w:hanging="361"/>
      </w:pPr>
      <w:rPr>
        <w:rFonts w:hint="default"/>
        <w:lang w:val="en-GB" w:eastAsia="en-GB" w:bidi="en-GB"/>
      </w:rPr>
    </w:lvl>
    <w:lvl w:ilvl="8" w:tplc="C7B60A44">
      <w:numFmt w:val="bullet"/>
      <w:lvlText w:val="•"/>
      <w:lvlJc w:val="left"/>
      <w:pPr>
        <w:ind w:left="3855" w:hanging="361"/>
      </w:pPr>
      <w:rPr>
        <w:rFonts w:hint="default"/>
        <w:lang w:val="en-GB" w:eastAsia="en-GB" w:bidi="en-GB"/>
      </w:rPr>
    </w:lvl>
  </w:abstractNum>
  <w:abstractNum w:abstractNumId="4" w15:restartNumberingAfterBreak="0">
    <w:nsid w:val="202868BE"/>
    <w:multiLevelType w:val="hybridMultilevel"/>
    <w:tmpl w:val="2D0C8E9A"/>
    <w:lvl w:ilvl="0" w:tplc="37D8C13C">
      <w:numFmt w:val="bullet"/>
      <w:lvlText w:val=""/>
      <w:lvlJc w:val="left"/>
      <w:pPr>
        <w:ind w:left="-1800" w:hanging="360"/>
      </w:pPr>
      <w:rPr>
        <w:rFonts w:ascii="Symbol" w:eastAsia="Symbol" w:hAnsi="Symbol" w:cs="Symbol" w:hint="default"/>
        <w:w w:val="100"/>
        <w:sz w:val="22"/>
        <w:szCs w:val="22"/>
        <w:lang w:val="en-GB" w:eastAsia="en-GB" w:bidi="en-GB"/>
      </w:rPr>
    </w:lvl>
    <w:lvl w:ilvl="1" w:tplc="B192D060">
      <w:numFmt w:val="bullet"/>
      <w:lvlText w:val="•"/>
      <w:lvlJc w:val="left"/>
      <w:pPr>
        <w:ind w:left="-896" w:hanging="360"/>
      </w:pPr>
      <w:rPr>
        <w:rFonts w:hint="default"/>
        <w:lang w:val="en-GB" w:eastAsia="en-GB" w:bidi="en-GB"/>
      </w:rPr>
    </w:lvl>
    <w:lvl w:ilvl="2" w:tplc="72C69032">
      <w:numFmt w:val="bullet"/>
      <w:lvlText w:val="•"/>
      <w:lvlJc w:val="left"/>
      <w:pPr>
        <w:ind w:left="9" w:hanging="360"/>
      </w:pPr>
      <w:rPr>
        <w:rFonts w:hint="default"/>
        <w:lang w:val="en-GB" w:eastAsia="en-GB" w:bidi="en-GB"/>
      </w:rPr>
    </w:lvl>
    <w:lvl w:ilvl="3" w:tplc="6A1E67E8">
      <w:numFmt w:val="bullet"/>
      <w:lvlText w:val="•"/>
      <w:lvlJc w:val="left"/>
      <w:pPr>
        <w:ind w:left="913" w:hanging="360"/>
      </w:pPr>
      <w:rPr>
        <w:rFonts w:hint="default"/>
        <w:lang w:val="en-GB" w:eastAsia="en-GB" w:bidi="en-GB"/>
      </w:rPr>
    </w:lvl>
    <w:lvl w:ilvl="4" w:tplc="88CCA040">
      <w:numFmt w:val="bullet"/>
      <w:lvlText w:val="•"/>
      <w:lvlJc w:val="left"/>
      <w:pPr>
        <w:ind w:left="1818" w:hanging="360"/>
      </w:pPr>
      <w:rPr>
        <w:rFonts w:hint="default"/>
        <w:lang w:val="en-GB" w:eastAsia="en-GB" w:bidi="en-GB"/>
      </w:rPr>
    </w:lvl>
    <w:lvl w:ilvl="5" w:tplc="1FA6AE5E">
      <w:numFmt w:val="bullet"/>
      <w:lvlText w:val="•"/>
      <w:lvlJc w:val="left"/>
      <w:pPr>
        <w:ind w:left="2723" w:hanging="360"/>
      </w:pPr>
      <w:rPr>
        <w:rFonts w:hint="default"/>
        <w:lang w:val="en-GB" w:eastAsia="en-GB" w:bidi="en-GB"/>
      </w:rPr>
    </w:lvl>
    <w:lvl w:ilvl="6" w:tplc="CE7ACD2A">
      <w:numFmt w:val="bullet"/>
      <w:lvlText w:val="•"/>
      <w:lvlJc w:val="left"/>
      <w:pPr>
        <w:ind w:left="3627" w:hanging="360"/>
      </w:pPr>
      <w:rPr>
        <w:rFonts w:hint="default"/>
        <w:lang w:val="en-GB" w:eastAsia="en-GB" w:bidi="en-GB"/>
      </w:rPr>
    </w:lvl>
    <w:lvl w:ilvl="7" w:tplc="62B89378">
      <w:numFmt w:val="bullet"/>
      <w:lvlText w:val="•"/>
      <w:lvlJc w:val="left"/>
      <w:pPr>
        <w:ind w:left="4532" w:hanging="360"/>
      </w:pPr>
      <w:rPr>
        <w:rFonts w:hint="default"/>
        <w:lang w:val="en-GB" w:eastAsia="en-GB" w:bidi="en-GB"/>
      </w:rPr>
    </w:lvl>
    <w:lvl w:ilvl="8" w:tplc="06147FC6">
      <w:numFmt w:val="bullet"/>
      <w:lvlText w:val="•"/>
      <w:lvlJc w:val="left"/>
      <w:pPr>
        <w:ind w:left="5437" w:hanging="360"/>
      </w:pPr>
      <w:rPr>
        <w:rFonts w:hint="default"/>
        <w:lang w:val="en-GB" w:eastAsia="en-GB" w:bidi="en-GB"/>
      </w:rPr>
    </w:lvl>
  </w:abstractNum>
  <w:abstractNum w:abstractNumId="5" w15:restartNumberingAfterBreak="0">
    <w:nsid w:val="2C882A64"/>
    <w:multiLevelType w:val="hybridMultilevel"/>
    <w:tmpl w:val="00FC13F2"/>
    <w:lvl w:ilvl="0" w:tplc="3B6C13EE">
      <w:start w:val="1"/>
      <w:numFmt w:val="decimal"/>
      <w:pStyle w:val="Numbers2"/>
      <w:lvlText w:val="%1."/>
      <w:lvlJc w:val="left"/>
      <w:pPr>
        <w:ind w:left="720" w:hanging="360"/>
      </w:pPr>
    </w:lvl>
    <w:lvl w:ilvl="1" w:tplc="968AD21E">
      <w:start w:val="1"/>
      <w:numFmt w:val="lowerLetter"/>
      <w:pStyle w:val="Numbers3"/>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55AC8"/>
    <w:multiLevelType w:val="hybridMultilevel"/>
    <w:tmpl w:val="F4A4DBF8"/>
    <w:lvl w:ilvl="0" w:tplc="54E8DA60">
      <w:numFmt w:val="bullet"/>
      <w:lvlText w:val=""/>
      <w:lvlJc w:val="left"/>
      <w:pPr>
        <w:ind w:left="825" w:hanging="360"/>
      </w:pPr>
      <w:rPr>
        <w:rFonts w:ascii="Symbol" w:eastAsia="Symbol" w:hAnsi="Symbol" w:cs="Symbol" w:hint="default"/>
        <w:w w:val="100"/>
        <w:sz w:val="22"/>
        <w:szCs w:val="22"/>
        <w:lang w:val="en-GB" w:eastAsia="en-GB" w:bidi="en-GB"/>
      </w:rPr>
    </w:lvl>
    <w:lvl w:ilvl="1" w:tplc="1C58D9FE">
      <w:numFmt w:val="bullet"/>
      <w:lvlText w:val="•"/>
      <w:lvlJc w:val="left"/>
      <w:pPr>
        <w:ind w:left="1198" w:hanging="360"/>
      </w:pPr>
      <w:rPr>
        <w:rFonts w:hint="default"/>
        <w:lang w:val="en-GB" w:eastAsia="en-GB" w:bidi="en-GB"/>
      </w:rPr>
    </w:lvl>
    <w:lvl w:ilvl="2" w:tplc="71F65280">
      <w:numFmt w:val="bullet"/>
      <w:lvlText w:val="•"/>
      <w:lvlJc w:val="left"/>
      <w:pPr>
        <w:ind w:left="1577" w:hanging="360"/>
      </w:pPr>
      <w:rPr>
        <w:rFonts w:hint="default"/>
        <w:lang w:val="en-GB" w:eastAsia="en-GB" w:bidi="en-GB"/>
      </w:rPr>
    </w:lvl>
    <w:lvl w:ilvl="3" w:tplc="4DD08B82">
      <w:numFmt w:val="bullet"/>
      <w:lvlText w:val="•"/>
      <w:lvlJc w:val="left"/>
      <w:pPr>
        <w:ind w:left="1956" w:hanging="360"/>
      </w:pPr>
      <w:rPr>
        <w:rFonts w:hint="default"/>
        <w:lang w:val="en-GB" w:eastAsia="en-GB" w:bidi="en-GB"/>
      </w:rPr>
    </w:lvl>
    <w:lvl w:ilvl="4" w:tplc="6CC2D77A">
      <w:numFmt w:val="bullet"/>
      <w:lvlText w:val="•"/>
      <w:lvlJc w:val="left"/>
      <w:pPr>
        <w:ind w:left="2335" w:hanging="360"/>
      </w:pPr>
      <w:rPr>
        <w:rFonts w:hint="default"/>
        <w:lang w:val="en-GB" w:eastAsia="en-GB" w:bidi="en-GB"/>
      </w:rPr>
    </w:lvl>
    <w:lvl w:ilvl="5" w:tplc="10447C14">
      <w:numFmt w:val="bullet"/>
      <w:lvlText w:val="•"/>
      <w:lvlJc w:val="left"/>
      <w:pPr>
        <w:ind w:left="2714" w:hanging="360"/>
      </w:pPr>
      <w:rPr>
        <w:rFonts w:hint="default"/>
        <w:lang w:val="en-GB" w:eastAsia="en-GB" w:bidi="en-GB"/>
      </w:rPr>
    </w:lvl>
    <w:lvl w:ilvl="6" w:tplc="A81CB566">
      <w:numFmt w:val="bullet"/>
      <w:lvlText w:val="•"/>
      <w:lvlJc w:val="left"/>
      <w:pPr>
        <w:ind w:left="3093" w:hanging="360"/>
      </w:pPr>
      <w:rPr>
        <w:rFonts w:hint="default"/>
        <w:lang w:val="en-GB" w:eastAsia="en-GB" w:bidi="en-GB"/>
      </w:rPr>
    </w:lvl>
    <w:lvl w:ilvl="7" w:tplc="95F42720">
      <w:numFmt w:val="bullet"/>
      <w:lvlText w:val="•"/>
      <w:lvlJc w:val="left"/>
      <w:pPr>
        <w:ind w:left="3471" w:hanging="360"/>
      </w:pPr>
      <w:rPr>
        <w:rFonts w:hint="default"/>
        <w:lang w:val="en-GB" w:eastAsia="en-GB" w:bidi="en-GB"/>
      </w:rPr>
    </w:lvl>
    <w:lvl w:ilvl="8" w:tplc="6100BAF8">
      <w:numFmt w:val="bullet"/>
      <w:lvlText w:val="•"/>
      <w:lvlJc w:val="left"/>
      <w:pPr>
        <w:ind w:left="3850" w:hanging="360"/>
      </w:pPr>
      <w:rPr>
        <w:rFonts w:hint="default"/>
        <w:lang w:val="en-GB" w:eastAsia="en-GB" w:bidi="en-GB"/>
      </w:rPr>
    </w:lvl>
  </w:abstractNum>
  <w:abstractNum w:abstractNumId="7" w15:restartNumberingAfterBreak="0">
    <w:nsid w:val="3C496C81"/>
    <w:multiLevelType w:val="hybridMultilevel"/>
    <w:tmpl w:val="E5267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B24EDB"/>
    <w:multiLevelType w:val="hybridMultilevel"/>
    <w:tmpl w:val="B7B2D61A"/>
    <w:lvl w:ilvl="0" w:tplc="1CAE8FEA">
      <w:start w:val="1"/>
      <w:numFmt w:val="decimal"/>
      <w:lvlText w:val="%1."/>
      <w:lvlJc w:val="left"/>
      <w:pPr>
        <w:ind w:left="1436" w:hanging="360"/>
        <w:jc w:val="left"/>
      </w:pPr>
      <w:rPr>
        <w:rFonts w:ascii="Calibri" w:eastAsia="Calibri" w:hAnsi="Calibri" w:cs="Calibri" w:hint="default"/>
        <w:w w:val="100"/>
        <w:sz w:val="22"/>
        <w:szCs w:val="22"/>
        <w:lang w:val="en-GB" w:eastAsia="en-GB" w:bidi="en-GB"/>
      </w:rPr>
    </w:lvl>
    <w:lvl w:ilvl="1" w:tplc="800CAAC6">
      <w:numFmt w:val="bullet"/>
      <w:lvlText w:val="•"/>
      <w:lvlJc w:val="left"/>
      <w:pPr>
        <w:ind w:left="2340" w:hanging="360"/>
      </w:pPr>
      <w:rPr>
        <w:rFonts w:hint="default"/>
        <w:lang w:val="en-GB" w:eastAsia="en-GB" w:bidi="en-GB"/>
      </w:rPr>
    </w:lvl>
    <w:lvl w:ilvl="2" w:tplc="DB54CD62">
      <w:numFmt w:val="bullet"/>
      <w:lvlText w:val="•"/>
      <w:lvlJc w:val="left"/>
      <w:pPr>
        <w:ind w:left="3245" w:hanging="360"/>
      </w:pPr>
      <w:rPr>
        <w:rFonts w:hint="default"/>
        <w:lang w:val="en-GB" w:eastAsia="en-GB" w:bidi="en-GB"/>
      </w:rPr>
    </w:lvl>
    <w:lvl w:ilvl="3" w:tplc="C504C97A">
      <w:numFmt w:val="bullet"/>
      <w:lvlText w:val="•"/>
      <w:lvlJc w:val="left"/>
      <w:pPr>
        <w:ind w:left="4149" w:hanging="360"/>
      </w:pPr>
      <w:rPr>
        <w:rFonts w:hint="default"/>
        <w:lang w:val="en-GB" w:eastAsia="en-GB" w:bidi="en-GB"/>
      </w:rPr>
    </w:lvl>
    <w:lvl w:ilvl="4" w:tplc="D92C24DE">
      <w:numFmt w:val="bullet"/>
      <w:lvlText w:val="•"/>
      <w:lvlJc w:val="left"/>
      <w:pPr>
        <w:ind w:left="5054" w:hanging="360"/>
      </w:pPr>
      <w:rPr>
        <w:rFonts w:hint="default"/>
        <w:lang w:val="en-GB" w:eastAsia="en-GB" w:bidi="en-GB"/>
      </w:rPr>
    </w:lvl>
    <w:lvl w:ilvl="5" w:tplc="AEDE2636">
      <w:numFmt w:val="bullet"/>
      <w:lvlText w:val="•"/>
      <w:lvlJc w:val="left"/>
      <w:pPr>
        <w:ind w:left="5959" w:hanging="360"/>
      </w:pPr>
      <w:rPr>
        <w:rFonts w:hint="default"/>
        <w:lang w:val="en-GB" w:eastAsia="en-GB" w:bidi="en-GB"/>
      </w:rPr>
    </w:lvl>
    <w:lvl w:ilvl="6" w:tplc="3AB00438">
      <w:numFmt w:val="bullet"/>
      <w:lvlText w:val="•"/>
      <w:lvlJc w:val="left"/>
      <w:pPr>
        <w:ind w:left="6863" w:hanging="360"/>
      </w:pPr>
      <w:rPr>
        <w:rFonts w:hint="default"/>
        <w:lang w:val="en-GB" w:eastAsia="en-GB" w:bidi="en-GB"/>
      </w:rPr>
    </w:lvl>
    <w:lvl w:ilvl="7" w:tplc="307E9776">
      <w:numFmt w:val="bullet"/>
      <w:lvlText w:val="•"/>
      <w:lvlJc w:val="left"/>
      <w:pPr>
        <w:ind w:left="7768" w:hanging="360"/>
      </w:pPr>
      <w:rPr>
        <w:rFonts w:hint="default"/>
        <w:lang w:val="en-GB" w:eastAsia="en-GB" w:bidi="en-GB"/>
      </w:rPr>
    </w:lvl>
    <w:lvl w:ilvl="8" w:tplc="0310FC62">
      <w:numFmt w:val="bullet"/>
      <w:lvlText w:val="•"/>
      <w:lvlJc w:val="left"/>
      <w:pPr>
        <w:ind w:left="8673" w:hanging="360"/>
      </w:pPr>
      <w:rPr>
        <w:rFonts w:hint="default"/>
        <w:lang w:val="en-GB" w:eastAsia="en-GB" w:bidi="en-GB"/>
      </w:rPr>
    </w:lvl>
  </w:abstractNum>
  <w:abstractNum w:abstractNumId="9" w15:restartNumberingAfterBreak="0">
    <w:nsid w:val="4184235B"/>
    <w:multiLevelType w:val="hybridMultilevel"/>
    <w:tmpl w:val="DDF22408"/>
    <w:lvl w:ilvl="0" w:tplc="C1486D34">
      <w:start w:val="1"/>
      <w:numFmt w:val="decimal"/>
      <w:pStyle w:val="Number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EB1797"/>
    <w:multiLevelType w:val="hybridMultilevel"/>
    <w:tmpl w:val="4B2C4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1B485F"/>
    <w:multiLevelType w:val="hybridMultilevel"/>
    <w:tmpl w:val="BC9EAD1A"/>
    <w:lvl w:ilvl="0" w:tplc="FFFFFFFF">
      <w:numFmt w:val="bullet"/>
      <w:lvlText w:val=""/>
      <w:lvlJc w:val="left"/>
      <w:pPr>
        <w:ind w:left="-1800" w:hanging="360"/>
      </w:pPr>
      <w:rPr>
        <w:rFonts w:ascii="Symbol" w:eastAsia="Symbol" w:hAnsi="Symbol" w:cs="Symbol" w:hint="default"/>
        <w:w w:val="100"/>
        <w:sz w:val="22"/>
        <w:szCs w:val="22"/>
        <w:lang w:val="en-GB" w:eastAsia="en-GB" w:bidi="en-GB"/>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8B5806"/>
    <w:multiLevelType w:val="hybridMultilevel"/>
    <w:tmpl w:val="4D6A4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A455BC"/>
    <w:multiLevelType w:val="hybridMultilevel"/>
    <w:tmpl w:val="B8648D04"/>
    <w:lvl w:ilvl="0" w:tplc="685E6664">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41133"/>
    <w:multiLevelType w:val="hybridMultilevel"/>
    <w:tmpl w:val="349E06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307C4"/>
    <w:multiLevelType w:val="hybridMultilevel"/>
    <w:tmpl w:val="46521960"/>
    <w:lvl w:ilvl="0" w:tplc="BA98CDC4">
      <w:start w:val="1"/>
      <w:numFmt w:val="decimal"/>
      <w:lvlText w:val="%1."/>
      <w:lvlJc w:val="left"/>
      <w:pPr>
        <w:ind w:left="360" w:hanging="360"/>
        <w:jc w:val="left"/>
      </w:pPr>
      <w:rPr>
        <w:rFonts w:ascii="Calibri" w:eastAsia="Calibri" w:hAnsi="Calibri" w:cs="Calibri" w:hint="default"/>
        <w:w w:val="100"/>
        <w:sz w:val="22"/>
        <w:szCs w:val="22"/>
        <w:lang w:val="en-GB" w:eastAsia="en-GB" w:bidi="en-GB"/>
      </w:rPr>
    </w:lvl>
    <w:lvl w:ilvl="1" w:tplc="6C54418C">
      <w:numFmt w:val="bullet"/>
      <w:lvlText w:val="•"/>
      <w:lvlJc w:val="left"/>
      <w:pPr>
        <w:ind w:left="1264" w:hanging="360"/>
      </w:pPr>
      <w:rPr>
        <w:rFonts w:hint="default"/>
        <w:lang w:val="en-GB" w:eastAsia="en-GB" w:bidi="en-GB"/>
      </w:rPr>
    </w:lvl>
    <w:lvl w:ilvl="2" w:tplc="2C344CC4">
      <w:numFmt w:val="bullet"/>
      <w:lvlText w:val="•"/>
      <w:lvlJc w:val="left"/>
      <w:pPr>
        <w:ind w:left="2169" w:hanging="360"/>
      </w:pPr>
      <w:rPr>
        <w:rFonts w:hint="default"/>
        <w:lang w:val="en-GB" w:eastAsia="en-GB" w:bidi="en-GB"/>
      </w:rPr>
    </w:lvl>
    <w:lvl w:ilvl="3" w:tplc="888270A0">
      <w:numFmt w:val="bullet"/>
      <w:lvlText w:val="•"/>
      <w:lvlJc w:val="left"/>
      <w:pPr>
        <w:ind w:left="3073" w:hanging="360"/>
      </w:pPr>
      <w:rPr>
        <w:rFonts w:hint="default"/>
        <w:lang w:val="en-GB" w:eastAsia="en-GB" w:bidi="en-GB"/>
      </w:rPr>
    </w:lvl>
    <w:lvl w:ilvl="4" w:tplc="209E9808">
      <w:numFmt w:val="bullet"/>
      <w:lvlText w:val="•"/>
      <w:lvlJc w:val="left"/>
      <w:pPr>
        <w:ind w:left="3978" w:hanging="360"/>
      </w:pPr>
      <w:rPr>
        <w:rFonts w:hint="default"/>
        <w:lang w:val="en-GB" w:eastAsia="en-GB" w:bidi="en-GB"/>
      </w:rPr>
    </w:lvl>
    <w:lvl w:ilvl="5" w:tplc="ED8804F2">
      <w:numFmt w:val="bullet"/>
      <w:lvlText w:val="•"/>
      <w:lvlJc w:val="left"/>
      <w:pPr>
        <w:ind w:left="4883" w:hanging="360"/>
      </w:pPr>
      <w:rPr>
        <w:rFonts w:hint="default"/>
        <w:lang w:val="en-GB" w:eastAsia="en-GB" w:bidi="en-GB"/>
      </w:rPr>
    </w:lvl>
    <w:lvl w:ilvl="6" w:tplc="2E665A24">
      <w:numFmt w:val="bullet"/>
      <w:lvlText w:val="•"/>
      <w:lvlJc w:val="left"/>
      <w:pPr>
        <w:ind w:left="5787" w:hanging="360"/>
      </w:pPr>
      <w:rPr>
        <w:rFonts w:hint="default"/>
        <w:lang w:val="en-GB" w:eastAsia="en-GB" w:bidi="en-GB"/>
      </w:rPr>
    </w:lvl>
    <w:lvl w:ilvl="7" w:tplc="8EA6F896">
      <w:numFmt w:val="bullet"/>
      <w:lvlText w:val="•"/>
      <w:lvlJc w:val="left"/>
      <w:pPr>
        <w:ind w:left="6692" w:hanging="360"/>
      </w:pPr>
      <w:rPr>
        <w:rFonts w:hint="default"/>
        <w:lang w:val="en-GB" w:eastAsia="en-GB" w:bidi="en-GB"/>
      </w:rPr>
    </w:lvl>
    <w:lvl w:ilvl="8" w:tplc="368E3EE4">
      <w:numFmt w:val="bullet"/>
      <w:lvlText w:val="•"/>
      <w:lvlJc w:val="left"/>
      <w:pPr>
        <w:ind w:left="7597" w:hanging="360"/>
      </w:pPr>
      <w:rPr>
        <w:rFonts w:hint="default"/>
        <w:lang w:val="en-GB" w:eastAsia="en-GB" w:bidi="en-GB"/>
      </w:rPr>
    </w:lvl>
  </w:abstractNum>
  <w:abstractNum w:abstractNumId="16" w15:restartNumberingAfterBreak="0">
    <w:nsid w:val="746C243E"/>
    <w:multiLevelType w:val="hybridMultilevel"/>
    <w:tmpl w:val="4F7CD3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7623D"/>
    <w:multiLevelType w:val="hybridMultilevel"/>
    <w:tmpl w:val="21260FB4"/>
    <w:lvl w:ilvl="0" w:tplc="37D8C13C">
      <w:numFmt w:val="bullet"/>
      <w:lvlText w:val=""/>
      <w:lvlJc w:val="left"/>
      <w:pPr>
        <w:ind w:left="-1800" w:hanging="360"/>
      </w:pPr>
      <w:rPr>
        <w:rFonts w:ascii="Symbol" w:eastAsia="Symbol" w:hAnsi="Symbol" w:cs="Symbol" w:hint="default"/>
        <w:w w:val="100"/>
        <w:sz w:val="22"/>
        <w:szCs w:val="22"/>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9739D"/>
    <w:multiLevelType w:val="hybridMultilevel"/>
    <w:tmpl w:val="20EC8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90406">
    <w:abstractNumId w:val="0"/>
  </w:num>
  <w:num w:numId="2" w16cid:durableId="756710450">
    <w:abstractNumId w:val="9"/>
  </w:num>
  <w:num w:numId="3" w16cid:durableId="623148908">
    <w:abstractNumId w:val="5"/>
  </w:num>
  <w:num w:numId="4" w16cid:durableId="2093507578">
    <w:abstractNumId w:val="12"/>
  </w:num>
  <w:num w:numId="5" w16cid:durableId="559480940">
    <w:abstractNumId w:val="13"/>
  </w:num>
  <w:num w:numId="6" w16cid:durableId="1572305269">
    <w:abstractNumId w:val="4"/>
  </w:num>
  <w:num w:numId="7" w16cid:durableId="628902092">
    <w:abstractNumId w:val="14"/>
  </w:num>
  <w:num w:numId="8" w16cid:durableId="693307548">
    <w:abstractNumId w:val="18"/>
  </w:num>
  <w:num w:numId="9" w16cid:durableId="1054549787">
    <w:abstractNumId w:val="16"/>
  </w:num>
  <w:num w:numId="10" w16cid:durableId="511143882">
    <w:abstractNumId w:val="17"/>
  </w:num>
  <w:num w:numId="11" w16cid:durableId="535507676">
    <w:abstractNumId w:val="11"/>
  </w:num>
  <w:num w:numId="12" w16cid:durableId="794984161">
    <w:abstractNumId w:val="3"/>
  </w:num>
  <w:num w:numId="13" w16cid:durableId="1354763950">
    <w:abstractNumId w:val="6"/>
  </w:num>
  <w:num w:numId="14" w16cid:durableId="1328753522">
    <w:abstractNumId w:val="2"/>
  </w:num>
  <w:num w:numId="15" w16cid:durableId="1443768729">
    <w:abstractNumId w:val="15"/>
  </w:num>
  <w:num w:numId="16" w16cid:durableId="2026206568">
    <w:abstractNumId w:val="8"/>
  </w:num>
  <w:num w:numId="17" w16cid:durableId="1573278137">
    <w:abstractNumId w:val="10"/>
  </w:num>
  <w:num w:numId="18" w16cid:durableId="1465927696">
    <w:abstractNumId w:val="7"/>
  </w:num>
  <w:num w:numId="19" w16cid:durableId="141285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74"/>
    <w:rsid w:val="00041E5B"/>
    <w:rsid w:val="00047F23"/>
    <w:rsid w:val="00051374"/>
    <w:rsid w:val="00052059"/>
    <w:rsid w:val="00061B72"/>
    <w:rsid w:val="000F6919"/>
    <w:rsid w:val="001015E3"/>
    <w:rsid w:val="00123397"/>
    <w:rsid w:val="00216333"/>
    <w:rsid w:val="0022445A"/>
    <w:rsid w:val="00251F8B"/>
    <w:rsid w:val="002B46AA"/>
    <w:rsid w:val="003238F0"/>
    <w:rsid w:val="00462A4E"/>
    <w:rsid w:val="00475799"/>
    <w:rsid w:val="004A599B"/>
    <w:rsid w:val="00516113"/>
    <w:rsid w:val="00545668"/>
    <w:rsid w:val="00556B56"/>
    <w:rsid w:val="006147A3"/>
    <w:rsid w:val="007166A6"/>
    <w:rsid w:val="007276E3"/>
    <w:rsid w:val="007A0FA1"/>
    <w:rsid w:val="007F0310"/>
    <w:rsid w:val="00841269"/>
    <w:rsid w:val="00915DC7"/>
    <w:rsid w:val="009256A3"/>
    <w:rsid w:val="009725DF"/>
    <w:rsid w:val="00977C4F"/>
    <w:rsid w:val="00A20AE9"/>
    <w:rsid w:val="00A240C9"/>
    <w:rsid w:val="00AA10AF"/>
    <w:rsid w:val="00B60398"/>
    <w:rsid w:val="00BC5720"/>
    <w:rsid w:val="00BF665D"/>
    <w:rsid w:val="00CA517E"/>
    <w:rsid w:val="00CD0482"/>
    <w:rsid w:val="00CE7F76"/>
    <w:rsid w:val="00D709F5"/>
    <w:rsid w:val="00DD6DB7"/>
    <w:rsid w:val="00ED72BA"/>
    <w:rsid w:val="00EF1BE7"/>
    <w:rsid w:val="00F970C4"/>
    <w:rsid w:val="00FE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A8BC4B"/>
  <w15:chartTrackingRefBased/>
  <w15:docId w15:val="{58D6B98B-D927-4D45-806E-DEDA1B92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74"/>
    <w:rPr>
      <w:rFonts w:ascii="Arial" w:hAnsi="Arial"/>
    </w:rPr>
  </w:style>
  <w:style w:type="paragraph" w:styleId="Heading1">
    <w:name w:val="heading 1"/>
    <w:basedOn w:val="Normal"/>
    <w:next w:val="Normal"/>
    <w:link w:val="Heading1Char"/>
    <w:uiPriority w:val="9"/>
    <w:qFormat/>
    <w:rsid w:val="00F970C4"/>
    <w:pPr>
      <w:keepNext/>
      <w:keepLines/>
      <w:spacing w:before="240" w:after="240" w:line="240" w:lineRule="auto"/>
      <w:outlineLvl w:val="0"/>
    </w:pPr>
    <w:rPr>
      <w:rFonts w:eastAsiaTheme="majorEastAsia" w:cstheme="majorBidi"/>
      <w:b/>
      <w:color w:val="005EB8"/>
      <w:sz w:val="32"/>
      <w:szCs w:val="32"/>
    </w:rPr>
  </w:style>
  <w:style w:type="paragraph" w:styleId="Heading2">
    <w:name w:val="heading 2"/>
    <w:basedOn w:val="Normal"/>
    <w:next w:val="Normal"/>
    <w:link w:val="Heading2Char"/>
    <w:uiPriority w:val="9"/>
    <w:unhideWhenUsed/>
    <w:qFormat/>
    <w:rsid w:val="00F970C4"/>
    <w:pPr>
      <w:keepNext/>
      <w:keepLines/>
      <w:spacing w:before="120" w:after="120" w:line="240" w:lineRule="auto"/>
      <w:outlineLvl w:val="1"/>
    </w:pPr>
    <w:rPr>
      <w:rFonts w:eastAsiaTheme="majorEastAsia" w:cstheme="majorBidi"/>
      <w:b/>
      <w:color w:val="932456"/>
      <w:sz w:val="26"/>
      <w:szCs w:val="26"/>
    </w:rPr>
  </w:style>
  <w:style w:type="paragraph" w:styleId="Heading3">
    <w:name w:val="heading 3"/>
    <w:basedOn w:val="Normal"/>
    <w:next w:val="Normal"/>
    <w:link w:val="Heading3Char"/>
    <w:uiPriority w:val="9"/>
    <w:unhideWhenUsed/>
    <w:qFormat/>
    <w:rsid w:val="00F970C4"/>
    <w:pPr>
      <w:keepNext/>
      <w:keepLines/>
      <w:spacing w:before="120" w:after="120" w:line="240" w:lineRule="auto"/>
      <w:outlineLvl w:val="2"/>
    </w:pPr>
    <w:rPr>
      <w:rFonts w:eastAsiaTheme="majorEastAsia" w:cstheme="majorBidi"/>
      <w:b/>
      <w:color w:val="00777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374"/>
  </w:style>
  <w:style w:type="paragraph" w:styleId="Footer">
    <w:name w:val="footer"/>
    <w:basedOn w:val="Normal"/>
    <w:link w:val="FooterChar"/>
    <w:uiPriority w:val="99"/>
    <w:unhideWhenUsed/>
    <w:rsid w:val="00051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374"/>
  </w:style>
  <w:style w:type="character" w:customStyle="1" w:styleId="Heading1Char">
    <w:name w:val="Heading 1 Char"/>
    <w:basedOn w:val="DefaultParagraphFont"/>
    <w:link w:val="Heading1"/>
    <w:uiPriority w:val="9"/>
    <w:rsid w:val="00F970C4"/>
    <w:rPr>
      <w:rFonts w:ascii="Arial" w:eastAsiaTheme="majorEastAsia" w:hAnsi="Arial" w:cstheme="majorBidi"/>
      <w:b/>
      <w:color w:val="005EB8"/>
      <w:sz w:val="32"/>
      <w:szCs w:val="32"/>
    </w:rPr>
  </w:style>
  <w:style w:type="character" w:customStyle="1" w:styleId="Heading2Char">
    <w:name w:val="Heading 2 Char"/>
    <w:basedOn w:val="DefaultParagraphFont"/>
    <w:link w:val="Heading2"/>
    <w:uiPriority w:val="9"/>
    <w:rsid w:val="00F970C4"/>
    <w:rPr>
      <w:rFonts w:ascii="Arial" w:eastAsiaTheme="majorEastAsia" w:hAnsi="Arial" w:cstheme="majorBidi"/>
      <w:b/>
      <w:color w:val="932456"/>
      <w:sz w:val="26"/>
      <w:szCs w:val="26"/>
    </w:rPr>
  </w:style>
  <w:style w:type="paragraph" w:styleId="NoSpacing">
    <w:name w:val="No Spacing"/>
    <w:link w:val="NoSpacingChar"/>
    <w:uiPriority w:val="1"/>
    <w:qFormat/>
    <w:rsid w:val="00051374"/>
    <w:pPr>
      <w:spacing w:after="0" w:line="240" w:lineRule="auto"/>
    </w:pPr>
    <w:rPr>
      <w:rFonts w:ascii="Arial" w:hAnsi="Arial"/>
    </w:rPr>
  </w:style>
  <w:style w:type="character" w:customStyle="1" w:styleId="Heading3Char">
    <w:name w:val="Heading 3 Char"/>
    <w:basedOn w:val="DefaultParagraphFont"/>
    <w:link w:val="Heading3"/>
    <w:uiPriority w:val="9"/>
    <w:rsid w:val="00F970C4"/>
    <w:rPr>
      <w:rFonts w:ascii="Arial" w:eastAsiaTheme="majorEastAsia" w:hAnsi="Arial" w:cstheme="majorBidi"/>
      <w:b/>
      <w:color w:val="007771"/>
      <w:szCs w:val="24"/>
    </w:rPr>
  </w:style>
  <w:style w:type="paragraph" w:styleId="Title">
    <w:name w:val="Title"/>
    <w:aliases w:val="Title Page Heading White,Title Page Heading"/>
    <w:basedOn w:val="Normal"/>
    <w:next w:val="Normal"/>
    <w:link w:val="TitleChar"/>
    <w:uiPriority w:val="10"/>
    <w:qFormat/>
    <w:rsid w:val="00051374"/>
    <w:rPr>
      <w:rFonts w:cs="Arial"/>
      <w:b/>
      <w:bCs/>
      <w:color w:val="FFFFFF" w:themeColor="background1"/>
      <w:sz w:val="56"/>
      <w:szCs w:val="56"/>
    </w:rPr>
  </w:style>
  <w:style w:type="character" w:customStyle="1" w:styleId="TitleChar">
    <w:name w:val="Title Char"/>
    <w:aliases w:val="Title Page Heading White Char,Title Page Heading Char"/>
    <w:basedOn w:val="DefaultParagraphFont"/>
    <w:link w:val="Title"/>
    <w:uiPriority w:val="10"/>
    <w:rsid w:val="00051374"/>
    <w:rPr>
      <w:rFonts w:ascii="Arial" w:hAnsi="Arial" w:cs="Arial"/>
      <w:b/>
      <w:bCs/>
      <w:color w:val="FFFFFF" w:themeColor="background1"/>
      <w:sz w:val="56"/>
      <w:szCs w:val="56"/>
    </w:rPr>
  </w:style>
  <w:style w:type="paragraph" w:styleId="Subtitle">
    <w:name w:val="Subtitle"/>
    <w:aliases w:val="Title Page Subheading White"/>
    <w:basedOn w:val="Normal"/>
    <w:next w:val="Normal"/>
    <w:link w:val="SubtitleChar"/>
    <w:uiPriority w:val="11"/>
    <w:qFormat/>
    <w:rsid w:val="00EF1BE7"/>
    <w:rPr>
      <w:rFonts w:cs="Arial"/>
      <w:b/>
      <w:bCs/>
      <w:color w:val="FFFFFF" w:themeColor="background1"/>
      <w:sz w:val="48"/>
      <w:szCs w:val="48"/>
    </w:rPr>
  </w:style>
  <w:style w:type="character" w:customStyle="1" w:styleId="SubtitleChar">
    <w:name w:val="Subtitle Char"/>
    <w:aliases w:val="Title Page Subheading White Char"/>
    <w:basedOn w:val="DefaultParagraphFont"/>
    <w:link w:val="Subtitle"/>
    <w:uiPriority w:val="11"/>
    <w:rsid w:val="00EF1BE7"/>
    <w:rPr>
      <w:rFonts w:ascii="Arial" w:hAnsi="Arial" w:cs="Arial"/>
      <w:b/>
      <w:bCs/>
      <w:color w:val="FFFFFF" w:themeColor="background1"/>
      <w:sz w:val="48"/>
      <w:szCs w:val="48"/>
    </w:rPr>
  </w:style>
  <w:style w:type="character" w:styleId="SubtleEmphasis">
    <w:name w:val="Subtle Emphasis"/>
    <w:basedOn w:val="DefaultParagraphFont"/>
    <w:uiPriority w:val="19"/>
    <w:rsid w:val="00EF1BE7"/>
    <w:rPr>
      <w:i/>
      <w:iCs/>
      <w:color w:val="404040" w:themeColor="text1" w:themeTint="BF"/>
    </w:rPr>
  </w:style>
  <w:style w:type="paragraph" w:styleId="ListParagraph">
    <w:name w:val="List Paragraph"/>
    <w:basedOn w:val="Normal"/>
    <w:link w:val="ListParagraphChar"/>
    <w:uiPriority w:val="1"/>
    <w:qFormat/>
    <w:rsid w:val="00516113"/>
    <w:pPr>
      <w:ind w:left="720"/>
      <w:contextualSpacing/>
    </w:pPr>
  </w:style>
  <w:style w:type="paragraph" w:customStyle="1" w:styleId="Bullets1">
    <w:name w:val="Bullets 1"/>
    <w:basedOn w:val="ListParagraph"/>
    <w:link w:val="Bullets1Char"/>
    <w:qFormat/>
    <w:rsid w:val="00251F8B"/>
    <w:pPr>
      <w:numPr>
        <w:numId w:val="5"/>
      </w:numPr>
    </w:pPr>
    <w:rPr>
      <w:b/>
      <w:bCs/>
      <w:color w:val="932456" w:themeColor="accent5"/>
    </w:rPr>
  </w:style>
  <w:style w:type="paragraph" w:customStyle="1" w:styleId="Numbers1">
    <w:name w:val="Numbers 1"/>
    <w:basedOn w:val="ListParagraph"/>
    <w:link w:val="Numbers1Char"/>
    <w:qFormat/>
    <w:rsid w:val="00516113"/>
    <w:pPr>
      <w:numPr>
        <w:numId w:val="2"/>
      </w:numPr>
    </w:pPr>
    <w:rPr>
      <w:b/>
      <w:bCs/>
      <w:color w:val="932456" w:themeColor="accent5"/>
    </w:rPr>
  </w:style>
  <w:style w:type="character" w:customStyle="1" w:styleId="ListParagraphChar">
    <w:name w:val="List Paragraph Char"/>
    <w:basedOn w:val="DefaultParagraphFont"/>
    <w:link w:val="ListParagraph"/>
    <w:uiPriority w:val="34"/>
    <w:rsid w:val="00516113"/>
    <w:rPr>
      <w:rFonts w:ascii="Arial" w:hAnsi="Arial"/>
    </w:rPr>
  </w:style>
  <w:style w:type="character" w:customStyle="1" w:styleId="Bullets1Char">
    <w:name w:val="Bullets 1 Char"/>
    <w:basedOn w:val="ListParagraphChar"/>
    <w:link w:val="Bullets1"/>
    <w:rsid w:val="00251F8B"/>
    <w:rPr>
      <w:rFonts w:ascii="Arial" w:hAnsi="Arial"/>
      <w:b/>
      <w:bCs/>
      <w:color w:val="932456" w:themeColor="accent5"/>
    </w:rPr>
  </w:style>
  <w:style w:type="paragraph" w:customStyle="1" w:styleId="Bullets2">
    <w:name w:val="Bullets 2"/>
    <w:basedOn w:val="ListParagraph"/>
    <w:link w:val="Bullets2Char"/>
    <w:qFormat/>
    <w:rsid w:val="00516113"/>
    <w:pPr>
      <w:numPr>
        <w:numId w:val="1"/>
      </w:numPr>
    </w:pPr>
    <w:rPr>
      <w:b/>
      <w:bCs/>
    </w:rPr>
  </w:style>
  <w:style w:type="character" w:customStyle="1" w:styleId="Numbers1Char">
    <w:name w:val="Numbers 1 Char"/>
    <w:basedOn w:val="ListParagraphChar"/>
    <w:link w:val="Numbers1"/>
    <w:rsid w:val="00516113"/>
    <w:rPr>
      <w:rFonts w:ascii="Arial" w:hAnsi="Arial"/>
      <w:b/>
      <w:bCs/>
      <w:color w:val="932456" w:themeColor="accent5"/>
    </w:rPr>
  </w:style>
  <w:style w:type="paragraph" w:customStyle="1" w:styleId="Numbers2">
    <w:name w:val="Numbers 2"/>
    <w:basedOn w:val="ListParagraph"/>
    <w:link w:val="Numbers2Char"/>
    <w:qFormat/>
    <w:rsid w:val="00516113"/>
    <w:pPr>
      <w:numPr>
        <w:numId w:val="3"/>
      </w:numPr>
    </w:pPr>
    <w:rPr>
      <w:b/>
      <w:bCs/>
    </w:rPr>
  </w:style>
  <w:style w:type="character" w:customStyle="1" w:styleId="Bullets2Char">
    <w:name w:val="Bullets 2 Char"/>
    <w:basedOn w:val="ListParagraphChar"/>
    <w:link w:val="Bullets2"/>
    <w:rsid w:val="00516113"/>
    <w:rPr>
      <w:rFonts w:ascii="Arial" w:hAnsi="Arial"/>
      <w:b/>
      <w:bCs/>
    </w:rPr>
  </w:style>
  <w:style w:type="paragraph" w:customStyle="1" w:styleId="Bullets3">
    <w:name w:val="Bullets 3"/>
    <w:basedOn w:val="ListParagraph"/>
    <w:link w:val="Bullets3Char"/>
    <w:qFormat/>
    <w:rsid w:val="00516113"/>
    <w:pPr>
      <w:numPr>
        <w:ilvl w:val="1"/>
        <w:numId w:val="1"/>
      </w:numPr>
    </w:pPr>
  </w:style>
  <w:style w:type="character" w:customStyle="1" w:styleId="Numbers2Char">
    <w:name w:val="Numbers 2 Char"/>
    <w:basedOn w:val="ListParagraphChar"/>
    <w:link w:val="Numbers2"/>
    <w:rsid w:val="00516113"/>
    <w:rPr>
      <w:rFonts w:ascii="Arial" w:hAnsi="Arial"/>
      <w:b/>
      <w:bCs/>
    </w:rPr>
  </w:style>
  <w:style w:type="paragraph" w:customStyle="1" w:styleId="Numbers3">
    <w:name w:val="Numbers 3"/>
    <w:basedOn w:val="ListParagraph"/>
    <w:link w:val="Numbers3Char"/>
    <w:qFormat/>
    <w:rsid w:val="00516113"/>
    <w:pPr>
      <w:numPr>
        <w:ilvl w:val="1"/>
        <w:numId w:val="3"/>
      </w:numPr>
    </w:pPr>
  </w:style>
  <w:style w:type="character" w:customStyle="1" w:styleId="Bullets3Char">
    <w:name w:val="Bullets 3 Char"/>
    <w:basedOn w:val="ListParagraphChar"/>
    <w:link w:val="Bullets3"/>
    <w:rsid w:val="00516113"/>
    <w:rPr>
      <w:rFonts w:ascii="Arial" w:hAnsi="Arial"/>
    </w:rPr>
  </w:style>
  <w:style w:type="paragraph" w:customStyle="1" w:styleId="TitlePageHeadingBlue">
    <w:name w:val="Title Page Heading Blue"/>
    <w:basedOn w:val="Title"/>
    <w:link w:val="TitlePageHeadingBlueChar"/>
    <w:qFormat/>
    <w:rsid w:val="00977C4F"/>
    <w:rPr>
      <w:color w:val="005EB8" w:themeColor="accent2"/>
    </w:rPr>
  </w:style>
  <w:style w:type="character" w:customStyle="1" w:styleId="Numbers3Char">
    <w:name w:val="Numbers 3 Char"/>
    <w:basedOn w:val="ListParagraphChar"/>
    <w:link w:val="Numbers3"/>
    <w:rsid w:val="00516113"/>
    <w:rPr>
      <w:rFonts w:ascii="Arial" w:hAnsi="Arial"/>
    </w:rPr>
  </w:style>
  <w:style w:type="paragraph" w:customStyle="1" w:styleId="TitlePageSubheadingBlue">
    <w:name w:val="Title Page Subheading Blue"/>
    <w:basedOn w:val="Title"/>
    <w:link w:val="TitlePageSubheadingBlueChar"/>
    <w:qFormat/>
    <w:rsid w:val="00977C4F"/>
    <w:rPr>
      <w:color w:val="005EB8" w:themeColor="accent2"/>
      <w:sz w:val="48"/>
    </w:rPr>
  </w:style>
  <w:style w:type="character" w:customStyle="1" w:styleId="TitlePageHeadingBlueChar">
    <w:name w:val="Title Page Heading Blue Char"/>
    <w:basedOn w:val="TitleChar"/>
    <w:link w:val="TitlePageHeadingBlue"/>
    <w:rsid w:val="00977C4F"/>
    <w:rPr>
      <w:rFonts w:ascii="Arial" w:hAnsi="Arial" w:cs="Arial"/>
      <w:b/>
      <w:bCs/>
      <w:color w:val="005EB8" w:themeColor="accent2"/>
      <w:sz w:val="56"/>
      <w:szCs w:val="56"/>
    </w:rPr>
  </w:style>
  <w:style w:type="character" w:customStyle="1" w:styleId="TitlePageSubheadingBlueChar">
    <w:name w:val="Title Page Subheading Blue Char"/>
    <w:basedOn w:val="TitleChar"/>
    <w:link w:val="TitlePageSubheadingBlue"/>
    <w:rsid w:val="00977C4F"/>
    <w:rPr>
      <w:rFonts w:ascii="Arial" w:hAnsi="Arial" w:cs="Arial"/>
      <w:b/>
      <w:bCs/>
      <w:color w:val="005EB8" w:themeColor="accent2"/>
      <w:sz w:val="48"/>
      <w:szCs w:val="56"/>
    </w:rPr>
  </w:style>
  <w:style w:type="paragraph" w:customStyle="1" w:styleId="Imagecaption">
    <w:name w:val="Image caption"/>
    <w:basedOn w:val="Numbers2"/>
    <w:link w:val="ImagecaptionChar"/>
    <w:qFormat/>
    <w:rsid w:val="001015E3"/>
    <w:pPr>
      <w:numPr>
        <w:numId w:val="0"/>
      </w:numPr>
    </w:pPr>
    <w:rPr>
      <w:b w:val="0"/>
      <w:bCs w:val="0"/>
      <w:color w:val="6F6F6F"/>
      <w:sz w:val="20"/>
      <w:szCs w:val="20"/>
    </w:rPr>
  </w:style>
  <w:style w:type="paragraph" w:customStyle="1" w:styleId="Footertext">
    <w:name w:val="Footer text"/>
    <w:basedOn w:val="Normal"/>
    <w:link w:val="FootertextChar"/>
    <w:qFormat/>
    <w:rsid w:val="00251F8B"/>
    <w:rPr>
      <w:rFonts w:cs="Arial"/>
      <w:b/>
      <w:bCs/>
      <w:color w:val="FFFFFF" w:themeColor="background1"/>
      <w:sz w:val="20"/>
      <w:szCs w:val="20"/>
    </w:rPr>
  </w:style>
  <w:style w:type="character" w:customStyle="1" w:styleId="ImagecaptionChar">
    <w:name w:val="Image caption Char"/>
    <w:basedOn w:val="Numbers2Char"/>
    <w:link w:val="Imagecaption"/>
    <w:rsid w:val="001015E3"/>
    <w:rPr>
      <w:rFonts w:ascii="Arial" w:hAnsi="Arial"/>
      <w:b w:val="0"/>
      <w:bCs w:val="0"/>
      <w:color w:val="6F6F6F"/>
      <w:sz w:val="20"/>
      <w:szCs w:val="20"/>
    </w:rPr>
  </w:style>
  <w:style w:type="character" w:customStyle="1" w:styleId="FootertextChar">
    <w:name w:val="Footer text Char"/>
    <w:basedOn w:val="DefaultParagraphFont"/>
    <w:link w:val="Footertext"/>
    <w:rsid w:val="00251F8B"/>
    <w:rPr>
      <w:rFonts w:ascii="Arial" w:hAnsi="Arial" w:cs="Arial"/>
      <w:b/>
      <w:bCs/>
      <w:color w:val="FFFFFF" w:themeColor="background1"/>
      <w:sz w:val="20"/>
      <w:szCs w:val="20"/>
    </w:rPr>
  </w:style>
  <w:style w:type="character" w:customStyle="1" w:styleId="NoSpacingChar">
    <w:name w:val="No Spacing Char"/>
    <w:basedOn w:val="DefaultParagraphFont"/>
    <w:link w:val="NoSpacing"/>
    <w:uiPriority w:val="1"/>
    <w:rsid w:val="00BC5720"/>
    <w:rPr>
      <w:rFonts w:ascii="Arial" w:hAnsi="Arial"/>
    </w:rPr>
  </w:style>
  <w:style w:type="paragraph" w:styleId="BodyText">
    <w:name w:val="Body Text"/>
    <w:basedOn w:val="Normal"/>
    <w:link w:val="BodyTextChar"/>
    <w:uiPriority w:val="1"/>
    <w:qFormat/>
    <w:rsid w:val="00BF665D"/>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BF665D"/>
    <w:rPr>
      <w:rFonts w:ascii="Calibri" w:eastAsia="Calibri" w:hAnsi="Calibri" w:cs="Calibri"/>
      <w:lang w:eastAsia="en-GB" w:bidi="en-GB"/>
    </w:rPr>
  </w:style>
  <w:style w:type="paragraph" w:customStyle="1" w:styleId="TableParagraph">
    <w:name w:val="Table Paragraph"/>
    <w:basedOn w:val="Normal"/>
    <w:uiPriority w:val="1"/>
    <w:qFormat/>
    <w:rsid w:val="004A599B"/>
    <w:pPr>
      <w:widowControl w:val="0"/>
      <w:autoSpaceDE w:val="0"/>
      <w:autoSpaceDN w:val="0"/>
      <w:spacing w:after="0" w:line="240" w:lineRule="auto"/>
    </w:pPr>
    <w:rPr>
      <w:rFonts w:ascii="Calibri" w:eastAsia="Calibri" w:hAnsi="Calibri" w:cs="Calibri"/>
      <w:lang w:eastAsia="en-GB" w:bidi="en-GB"/>
    </w:rPr>
  </w:style>
  <w:style w:type="character" w:styleId="Hyperlink">
    <w:name w:val="Hyperlink"/>
    <w:basedOn w:val="DefaultParagraphFont"/>
    <w:uiPriority w:val="99"/>
    <w:unhideWhenUsed/>
    <w:rsid w:val="007F0310"/>
    <w:rPr>
      <w:color w:val="005EB8" w:themeColor="hyperlink"/>
      <w:u w:val="single"/>
    </w:rPr>
  </w:style>
  <w:style w:type="character" w:styleId="UnresolvedMention">
    <w:name w:val="Unresolved Mention"/>
    <w:basedOn w:val="DefaultParagraphFont"/>
    <w:uiPriority w:val="99"/>
    <w:semiHidden/>
    <w:unhideWhenUsed/>
    <w:rsid w:val="007F0310"/>
    <w:rPr>
      <w:color w:val="605E5C"/>
      <w:shd w:val="clear" w:color="auto" w:fill="E1DFDD"/>
    </w:rPr>
  </w:style>
  <w:style w:type="table" w:styleId="TableGrid">
    <w:name w:val="Table Grid"/>
    <w:basedOn w:val="TableNormal"/>
    <w:uiPriority w:val="39"/>
    <w:rsid w:val="00DD6D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10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ta1026"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CB Theme">
      <a:dk1>
        <a:sysClr val="windowText" lastClr="000000"/>
      </a:dk1>
      <a:lt1>
        <a:sysClr val="window" lastClr="FFFFFF"/>
      </a:lt1>
      <a:dk2>
        <a:srgbClr val="FFFFFF"/>
      </a:dk2>
      <a:lt2>
        <a:srgbClr val="FFFFFF"/>
      </a:lt2>
      <a:accent1>
        <a:srgbClr val="0DA5BF"/>
      </a:accent1>
      <a:accent2>
        <a:srgbClr val="005EB8"/>
      </a:accent2>
      <a:accent3>
        <a:srgbClr val="8FB5C8"/>
      </a:accent3>
      <a:accent4>
        <a:srgbClr val="9D9D9D"/>
      </a:accent4>
      <a:accent5>
        <a:srgbClr val="932456"/>
      </a:accent5>
      <a:accent6>
        <a:srgbClr val="DE0156"/>
      </a:accent6>
      <a:hlink>
        <a:srgbClr val="005EB8"/>
      </a:hlink>
      <a:folHlink>
        <a:srgbClr val="932456"/>
      </a:folHlink>
    </a:clrScheme>
    <a:fontScheme name="NIC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2284-4D6D-4F30-AF9A-02F25BD6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 Edward</dc:creator>
  <cp:keywords/>
  <dc:description/>
  <cp:lastModifiedBy>FOSTER, Maxine (NHS NORTHAMPTONSHIRE ICB - 78H)</cp:lastModifiedBy>
  <cp:revision>2</cp:revision>
  <dcterms:created xsi:type="dcterms:W3CDTF">2025-06-19T08:26:00Z</dcterms:created>
  <dcterms:modified xsi:type="dcterms:W3CDTF">2025-06-19T08:26:00Z</dcterms:modified>
</cp:coreProperties>
</file>